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C69" w:rsidRDefault="00FB5926">
      <w:pPr>
        <w:pStyle w:val="Default"/>
        <w:widowControl/>
        <w:spacing w:afterLines="50" w:after="156" w:line="440" w:lineRule="exact"/>
        <w:jc w:val="center"/>
        <w:rPr>
          <w:rFonts w:asciiTheme="minorEastAsia" w:eastAsiaTheme="minorEastAsia" w:hAnsiTheme="minorEastAsia" w:cstheme="minorEastAsia" w:hint="default"/>
          <w:b/>
          <w:color w:val="auto"/>
          <w:sz w:val="32"/>
          <w:szCs w:val="32"/>
        </w:rPr>
      </w:pPr>
      <w:r>
        <w:rPr>
          <w:rFonts w:asciiTheme="minorEastAsia" w:eastAsiaTheme="minorEastAsia" w:hAnsiTheme="minorEastAsia" w:cstheme="minorEastAsia"/>
          <w:b/>
          <w:color w:val="auto"/>
          <w:sz w:val="32"/>
          <w:szCs w:val="32"/>
        </w:rPr>
        <w:t>药学全日制学术型硕士研究生培养方案</w:t>
      </w:r>
    </w:p>
    <w:p w:rsidR="00621C69" w:rsidRDefault="00FB5926">
      <w:pPr>
        <w:pStyle w:val="Default"/>
        <w:widowControl/>
        <w:spacing w:afterLines="50" w:after="156" w:line="440" w:lineRule="exact"/>
        <w:jc w:val="center"/>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一级学科</w:t>
      </w:r>
      <w:r>
        <w:rPr>
          <w:rFonts w:asciiTheme="minorEastAsia" w:eastAsiaTheme="minorEastAsia" w:hAnsiTheme="minorEastAsia" w:cstheme="minorEastAsia"/>
          <w:b/>
          <w:color w:val="auto"/>
        </w:rPr>
        <w:t xml:space="preserve"> </w:t>
      </w:r>
      <w:r>
        <w:rPr>
          <w:rFonts w:asciiTheme="minorEastAsia" w:eastAsiaTheme="minorEastAsia" w:hAnsiTheme="minorEastAsia" w:cstheme="minorEastAsia"/>
          <w:b/>
          <w:color w:val="auto"/>
        </w:rPr>
        <w:t>药学</w:t>
      </w:r>
      <w:r>
        <w:rPr>
          <w:rFonts w:asciiTheme="minorEastAsia" w:eastAsiaTheme="minorEastAsia" w:hAnsiTheme="minorEastAsia" w:cstheme="minorEastAsia"/>
          <w:b/>
          <w:color w:val="auto"/>
        </w:rPr>
        <w:t xml:space="preserve"> 1007</w:t>
      </w:r>
    </w:p>
    <w:p w:rsidR="00621C69" w:rsidRDefault="00FB5926">
      <w:pPr>
        <w:pStyle w:val="Default"/>
        <w:widowControl/>
        <w:spacing w:line="440" w:lineRule="exact"/>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 xml:space="preserve">    </w:t>
      </w:r>
      <w:r>
        <w:rPr>
          <w:rFonts w:asciiTheme="minorEastAsia" w:eastAsiaTheme="minorEastAsia" w:hAnsiTheme="minorEastAsia" w:cstheme="minorEastAsia"/>
          <w:b/>
          <w:color w:val="auto"/>
        </w:rPr>
        <w:t>学科、专业简介</w:t>
      </w:r>
    </w:p>
    <w:p w:rsidR="00621C69" w:rsidRDefault="00FB5926">
      <w:pPr>
        <w:widowControl/>
        <w:snapToGrid w:val="0"/>
        <w:spacing w:line="440" w:lineRule="exact"/>
        <w:ind w:firstLineChars="200" w:firstLine="480"/>
        <w:rPr>
          <w:rFonts w:asciiTheme="minorEastAsia" w:hAnsiTheme="minorEastAsia" w:cstheme="minorEastAsia"/>
          <w:kern w:val="0"/>
          <w:sz w:val="24"/>
          <w:lang w:bidi="ar"/>
        </w:rPr>
      </w:pPr>
      <w:r>
        <w:rPr>
          <w:rFonts w:asciiTheme="minorEastAsia" w:hAnsiTheme="minorEastAsia" w:cstheme="minorEastAsia" w:hint="eastAsia"/>
          <w:kern w:val="0"/>
          <w:sz w:val="24"/>
          <w:lang w:bidi="ar"/>
        </w:rPr>
        <w:t>南京中医药大学药学硕士学位点是在原有生药学、药剂学、药理学三个二级学科学位点建设的基础上，</w:t>
      </w:r>
      <w:r>
        <w:rPr>
          <w:rFonts w:asciiTheme="minorEastAsia" w:hAnsiTheme="minorEastAsia" w:cstheme="minorEastAsia" w:hint="eastAsia"/>
          <w:kern w:val="0"/>
          <w:sz w:val="24"/>
          <w:lang w:bidi="ar"/>
        </w:rPr>
        <w:t>2011</w:t>
      </w:r>
      <w:r>
        <w:rPr>
          <w:rFonts w:asciiTheme="minorEastAsia" w:hAnsiTheme="minorEastAsia" w:cstheme="minorEastAsia" w:hint="eastAsia"/>
          <w:kern w:val="0"/>
          <w:sz w:val="24"/>
          <w:lang w:bidi="ar"/>
        </w:rPr>
        <w:t>年经国务院学位委员会批准设立为一级学科硕士学位点授权点，</w:t>
      </w:r>
      <w:r>
        <w:rPr>
          <w:rFonts w:asciiTheme="minorEastAsia" w:hAnsiTheme="minorEastAsia" w:cstheme="minorEastAsia" w:hint="eastAsia"/>
          <w:kern w:val="0"/>
          <w:sz w:val="24"/>
          <w:lang w:bidi="ar"/>
        </w:rPr>
        <w:t>2012</w:t>
      </w:r>
      <w:r>
        <w:rPr>
          <w:rFonts w:asciiTheme="minorEastAsia" w:hAnsiTheme="minorEastAsia" w:cstheme="minorEastAsia" w:hint="eastAsia"/>
          <w:kern w:val="0"/>
          <w:sz w:val="24"/>
          <w:lang w:bidi="ar"/>
        </w:rPr>
        <w:t>年开始招生。现有研究生导师</w:t>
      </w:r>
      <w:r>
        <w:rPr>
          <w:rFonts w:asciiTheme="minorEastAsia" w:hAnsiTheme="minorEastAsia" w:cstheme="minorEastAsia" w:hint="eastAsia"/>
          <w:kern w:val="0"/>
          <w:sz w:val="24"/>
          <w:lang w:bidi="ar"/>
        </w:rPr>
        <w:t>40</w:t>
      </w:r>
      <w:r>
        <w:rPr>
          <w:rFonts w:asciiTheme="minorEastAsia" w:hAnsiTheme="minorEastAsia" w:cstheme="minorEastAsia" w:hint="eastAsia"/>
          <w:kern w:val="0"/>
          <w:sz w:val="24"/>
          <w:lang w:bidi="ar"/>
        </w:rPr>
        <w:t>名，其中教授</w:t>
      </w:r>
      <w:r>
        <w:rPr>
          <w:rFonts w:asciiTheme="minorEastAsia" w:hAnsiTheme="minorEastAsia" w:cstheme="minorEastAsia" w:hint="eastAsia"/>
          <w:kern w:val="0"/>
          <w:sz w:val="24"/>
          <w:lang w:bidi="ar"/>
        </w:rPr>
        <w:t>27</w:t>
      </w:r>
      <w:r>
        <w:rPr>
          <w:rFonts w:asciiTheme="minorEastAsia" w:hAnsiTheme="minorEastAsia" w:cstheme="minorEastAsia" w:hint="eastAsia"/>
          <w:kern w:val="0"/>
          <w:sz w:val="24"/>
          <w:lang w:bidi="ar"/>
        </w:rPr>
        <w:t>名，副教授</w:t>
      </w:r>
      <w:r>
        <w:rPr>
          <w:rFonts w:asciiTheme="minorEastAsia" w:hAnsiTheme="minorEastAsia" w:cstheme="minorEastAsia" w:hint="eastAsia"/>
          <w:kern w:val="0"/>
          <w:sz w:val="24"/>
          <w:lang w:bidi="ar"/>
        </w:rPr>
        <w:t>13</w:t>
      </w:r>
      <w:r>
        <w:rPr>
          <w:rFonts w:asciiTheme="minorEastAsia" w:hAnsiTheme="minorEastAsia" w:cstheme="minorEastAsia" w:hint="eastAsia"/>
          <w:kern w:val="0"/>
          <w:sz w:val="24"/>
          <w:lang w:bidi="ar"/>
        </w:rPr>
        <w:t>名。</w:t>
      </w:r>
    </w:p>
    <w:p w:rsidR="00621C69" w:rsidRDefault="00FB5926">
      <w:pPr>
        <w:widowControl/>
        <w:snapToGrid w:val="0"/>
        <w:spacing w:line="440" w:lineRule="exact"/>
        <w:ind w:firstLineChars="200" w:firstLine="480"/>
        <w:rPr>
          <w:rFonts w:asciiTheme="minorEastAsia" w:hAnsiTheme="minorEastAsia" w:cstheme="minorEastAsia"/>
          <w:kern w:val="0"/>
          <w:sz w:val="24"/>
        </w:rPr>
      </w:pPr>
      <w:r>
        <w:rPr>
          <w:rFonts w:asciiTheme="minorEastAsia" w:hAnsiTheme="minorEastAsia" w:cstheme="minorEastAsia" w:hint="eastAsia"/>
          <w:kern w:val="0"/>
          <w:sz w:val="24"/>
        </w:rPr>
        <w:t>药学硕士学位点下设的各研究方向与药学学科建设目标相适应，已经具有一定的研究生培养经验，教学和科研积淀深厚。</w:t>
      </w:r>
    </w:p>
    <w:p w:rsidR="00621C69" w:rsidRDefault="00FB5926">
      <w:pPr>
        <w:widowControl/>
        <w:snapToGrid w:val="0"/>
        <w:spacing w:line="440" w:lineRule="exact"/>
        <w:ind w:firstLineChars="200" w:firstLine="480"/>
        <w:rPr>
          <w:rFonts w:asciiTheme="minorEastAsia" w:hAnsiTheme="minorEastAsia" w:cstheme="minorEastAsia"/>
          <w:kern w:val="0"/>
          <w:sz w:val="24"/>
          <w:lang w:bidi="ar"/>
        </w:rPr>
      </w:pPr>
      <w:r>
        <w:rPr>
          <w:rFonts w:asciiTheme="minorEastAsia" w:hAnsiTheme="minorEastAsia" w:cstheme="minorEastAsia" w:hint="eastAsia"/>
          <w:kern w:val="0"/>
          <w:sz w:val="24"/>
          <w:lang w:bidi="ar"/>
        </w:rPr>
        <w:t>本学位点突出产学研结合，集高校、医院、企业人才培养、科学研究和医药产业发展优势，培养造就能够胜任药学相关高层次岗位需求的高素质研究生人才。</w:t>
      </w:r>
    </w:p>
    <w:p w:rsidR="00621C69" w:rsidRDefault="00FB5926">
      <w:pPr>
        <w:widowControl/>
        <w:spacing w:line="440" w:lineRule="exact"/>
        <w:ind w:firstLineChars="200" w:firstLine="482"/>
        <w:rPr>
          <w:rFonts w:asciiTheme="minorEastAsia" w:hAnsiTheme="minorEastAsia" w:cstheme="minorEastAsia"/>
          <w:b/>
          <w:sz w:val="24"/>
        </w:rPr>
      </w:pPr>
      <w:r>
        <w:rPr>
          <w:rFonts w:asciiTheme="minorEastAsia" w:hAnsiTheme="minorEastAsia" w:cstheme="minorEastAsia" w:hint="eastAsia"/>
          <w:b/>
          <w:kern w:val="0"/>
          <w:sz w:val="24"/>
        </w:rPr>
        <w:t>一、培养目标</w:t>
      </w:r>
      <w:r>
        <w:rPr>
          <w:rFonts w:asciiTheme="minorEastAsia" w:hAnsiTheme="minorEastAsia" w:cstheme="minorEastAsia" w:hint="eastAsia"/>
          <w:b/>
          <w:kern w:val="0"/>
          <w:sz w:val="24"/>
        </w:rPr>
        <w:t xml:space="preserve"> </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掌握辩证唯物主任和历史唯物主义，具备科学的世界观和方法论，坚持马克思主义、毛泽东思想、邓小平理论、“三个代表”思想、科学发展观和新时期中国特色社会主义理论指导，热爱祖国，遵纪守法，身心健康，品行端正，学风严谨，具有强烈的事业心和奉献精神，积极为社会主义现代化建设服务。</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在药学专业领域内具有扎实的理论基础、较强的独立从事本专业领域内天然药物资源研究与利用、先导化合物的发现及结构优化、药物设计及合成、药物剂型设计、工艺技术应用研究、药物分析新技术和新方法的研究、药品检定、微生物与生化药物的筛选、新药研发等教学科研工作或独立承担本专业专门技术工作的能力。</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熟练阅读本专业外文资料，具备较强的听、说、写、译能力。熟悉现代信息技术，具有较强的计算机应用和信息获取和分析的技能。</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hint="default"/>
          <w:color w:val="auto"/>
        </w:rPr>
        <w:t>4.</w:t>
      </w:r>
      <w:r>
        <w:rPr>
          <w:rFonts w:asciiTheme="minorEastAsia" w:eastAsiaTheme="minorEastAsia" w:hAnsiTheme="minorEastAsia" w:cstheme="minorEastAsia"/>
          <w:color w:val="auto"/>
        </w:rPr>
        <w:t>掌握现代信息技术，具备获取知识和信息并能够分析、归纳、总结的能力。</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身心健康。</w:t>
      </w:r>
      <w:r>
        <w:rPr>
          <w:rFonts w:asciiTheme="minorEastAsia" w:eastAsiaTheme="minorEastAsia" w:hAnsiTheme="minorEastAsia" w:cstheme="minorEastAsia"/>
          <w:color w:val="auto"/>
        </w:rPr>
        <w:t xml:space="preserve"> </w:t>
      </w:r>
    </w:p>
    <w:p w:rsidR="00621C69" w:rsidRDefault="00FB5926">
      <w:pPr>
        <w:pStyle w:val="Default"/>
        <w:widowControl/>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二、研究方向</w:t>
      </w:r>
      <w:r>
        <w:rPr>
          <w:rFonts w:asciiTheme="minorEastAsia" w:eastAsiaTheme="minorEastAsia" w:hAnsiTheme="minorEastAsia" w:cstheme="minorEastAsia"/>
          <w:b/>
          <w:color w:val="auto"/>
        </w:rPr>
        <w:t xml:space="preserve"> </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1</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药物化学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w:t>
      </w:r>
      <w:r>
        <w:rPr>
          <w:rFonts w:asciiTheme="minorEastAsia" w:eastAsiaTheme="minorEastAsia" w:hAnsiTheme="minorEastAsia" w:cstheme="minorEastAsia"/>
          <w:color w:val="auto"/>
        </w:rPr>
        <w:t>合成药物化学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w:t>
      </w:r>
      <w:r>
        <w:rPr>
          <w:rFonts w:asciiTheme="minorEastAsia" w:eastAsiaTheme="minorEastAsia" w:hAnsiTheme="minorEastAsia" w:cstheme="minorEastAsia"/>
          <w:color w:val="auto"/>
        </w:rPr>
        <w:t>天然药物化学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w:t>
      </w:r>
      <w:r>
        <w:rPr>
          <w:rFonts w:asciiTheme="minorEastAsia" w:eastAsiaTheme="minorEastAsia" w:hAnsiTheme="minorEastAsia" w:cstheme="minorEastAsia"/>
          <w:color w:val="auto"/>
        </w:rPr>
        <w:t>药物化学生物学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04</w:t>
      </w:r>
      <w:r>
        <w:rPr>
          <w:rFonts w:asciiTheme="minorEastAsia" w:eastAsiaTheme="minorEastAsia" w:hAnsiTheme="minorEastAsia" w:cstheme="minorEastAsia"/>
          <w:color w:val="auto"/>
        </w:rPr>
        <w:t>药物优势骨架构建的方法学研究</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05</w:t>
      </w:r>
      <w:r>
        <w:rPr>
          <w:rFonts w:asciiTheme="minorEastAsia" w:eastAsiaTheme="minorEastAsia" w:hAnsiTheme="minorEastAsia" w:cstheme="minorEastAsia"/>
          <w:color w:val="auto"/>
        </w:rPr>
        <w:t>药物合成方法</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color w:val="auto"/>
        </w:rPr>
      </w:pPr>
      <w:r>
        <w:rPr>
          <w:rFonts w:asciiTheme="minorEastAsia" w:eastAsiaTheme="minorEastAsia" w:hAnsiTheme="minorEastAsia" w:cstheme="minorEastAsia"/>
          <w:b/>
          <w:color w:val="auto"/>
        </w:rPr>
        <w:lastRenderedPageBreak/>
        <w:t>2</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药剂学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lang w:eastAsia="zh-Hans"/>
        </w:rPr>
      </w:pPr>
      <w:r>
        <w:rPr>
          <w:rFonts w:asciiTheme="minorEastAsia" w:eastAsiaTheme="minorEastAsia" w:hAnsiTheme="minorEastAsia" w:cstheme="minorEastAsia"/>
          <w:color w:val="auto"/>
        </w:rPr>
        <w:t>01</w:t>
      </w:r>
      <w:r>
        <w:rPr>
          <w:rFonts w:asciiTheme="minorEastAsia" w:eastAsiaTheme="minorEastAsia" w:hAnsiTheme="minorEastAsia" w:cstheme="minorEastAsia"/>
          <w:color w:val="auto"/>
        </w:rPr>
        <w:t>化学药剂</w:t>
      </w:r>
      <w:r>
        <w:rPr>
          <w:rFonts w:asciiTheme="minorEastAsia" w:eastAsiaTheme="minorEastAsia" w:hAnsiTheme="minorEastAsia" w:cstheme="minorEastAsia"/>
          <w:color w:val="auto"/>
          <w:lang w:eastAsia="zh-Hans"/>
        </w:rPr>
        <w:t>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w:t>
      </w:r>
      <w:r>
        <w:rPr>
          <w:rFonts w:asciiTheme="minorEastAsia" w:eastAsiaTheme="minorEastAsia" w:hAnsiTheme="minorEastAsia" w:cstheme="minorEastAsia"/>
          <w:color w:val="auto"/>
        </w:rPr>
        <w:t>生物药剂学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w:t>
      </w:r>
      <w:r>
        <w:rPr>
          <w:rFonts w:asciiTheme="minorEastAsia" w:eastAsiaTheme="minorEastAsia" w:hAnsiTheme="minorEastAsia" w:cstheme="minorEastAsia"/>
          <w:color w:val="auto"/>
        </w:rPr>
        <w:t>药物材料</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3</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药物分析学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w:t>
      </w:r>
      <w:r>
        <w:rPr>
          <w:rFonts w:asciiTheme="minorEastAsia" w:eastAsiaTheme="minorEastAsia" w:hAnsiTheme="minorEastAsia" w:cstheme="minorEastAsia"/>
          <w:color w:val="auto"/>
        </w:rPr>
        <w:t>药物分析方法</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w:t>
      </w:r>
      <w:r>
        <w:rPr>
          <w:rFonts w:asciiTheme="minorEastAsia" w:eastAsiaTheme="minorEastAsia" w:hAnsiTheme="minorEastAsia" w:cstheme="minorEastAsia"/>
          <w:color w:val="auto"/>
        </w:rPr>
        <w:t>药物体内过程分析</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w:t>
      </w:r>
      <w:r>
        <w:rPr>
          <w:rFonts w:asciiTheme="minorEastAsia" w:eastAsiaTheme="minorEastAsia" w:hAnsiTheme="minorEastAsia" w:cstheme="minorEastAsia"/>
          <w:color w:val="auto"/>
        </w:rPr>
        <w:t>药物的代谢与药物动力学</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color w:val="auto"/>
        </w:rPr>
      </w:pPr>
      <w:r>
        <w:rPr>
          <w:rFonts w:asciiTheme="minorEastAsia" w:eastAsiaTheme="minorEastAsia" w:hAnsiTheme="minorEastAsia" w:cstheme="minorEastAsia"/>
          <w:b/>
          <w:color w:val="auto"/>
        </w:rPr>
        <w:t>4</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微生物与生化药学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01</w:t>
      </w:r>
      <w:r>
        <w:rPr>
          <w:rFonts w:asciiTheme="minorEastAsia" w:eastAsiaTheme="minorEastAsia" w:hAnsiTheme="minorEastAsia" w:cstheme="minorEastAsia"/>
          <w:color w:val="auto"/>
        </w:rPr>
        <w:t>微生物药物与肠道菌群</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02</w:t>
      </w:r>
      <w:r>
        <w:rPr>
          <w:rFonts w:asciiTheme="minorEastAsia" w:eastAsiaTheme="minorEastAsia" w:hAnsiTheme="minorEastAsia" w:cstheme="minorEastAsia"/>
          <w:color w:val="auto"/>
        </w:rPr>
        <w:t>生物技术药物与合成生物学</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color w:val="auto"/>
        </w:rPr>
      </w:pPr>
      <w:r>
        <w:rPr>
          <w:rFonts w:asciiTheme="minorEastAsia" w:eastAsiaTheme="minorEastAsia" w:hAnsiTheme="minorEastAsia" w:cstheme="minorEastAsia"/>
          <w:b/>
          <w:color w:val="auto"/>
        </w:rPr>
        <w:t>5</w:t>
      </w:r>
      <w:r>
        <w:rPr>
          <w:rFonts w:asciiTheme="minorEastAsia" w:eastAsiaTheme="minorEastAsia" w:hAnsiTheme="minorEastAsia" w:cstheme="minorEastAsia" w:hint="default"/>
          <w:b/>
          <w:color w:val="auto"/>
        </w:rPr>
        <w:t>.</w:t>
      </w:r>
      <w:r>
        <w:rPr>
          <w:rFonts w:asciiTheme="minorEastAsia" w:eastAsiaTheme="minorEastAsia" w:hAnsiTheme="minorEastAsia" w:cstheme="minorEastAsia"/>
          <w:b/>
          <w:color w:val="auto"/>
        </w:rPr>
        <w:t>药理学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03</w:t>
      </w:r>
      <w:r>
        <w:rPr>
          <w:rFonts w:asciiTheme="minorEastAsia" w:eastAsiaTheme="minorEastAsia" w:hAnsiTheme="minorEastAsia" w:cstheme="minorEastAsia"/>
          <w:color w:val="auto"/>
        </w:rPr>
        <w:t>神经精神药理学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04</w:t>
      </w:r>
      <w:r>
        <w:rPr>
          <w:rFonts w:asciiTheme="minorEastAsia" w:eastAsiaTheme="minorEastAsia" w:hAnsiTheme="minorEastAsia" w:cstheme="minorEastAsia"/>
          <w:color w:val="auto"/>
        </w:rPr>
        <w:t>肿瘤与消化系统药理学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w:t>
      </w:r>
      <w:r>
        <w:rPr>
          <w:rFonts w:asciiTheme="minorEastAsia" w:eastAsiaTheme="minorEastAsia" w:hAnsiTheme="minorEastAsia" w:cstheme="minorEastAsia" w:hint="default"/>
          <w:color w:val="auto"/>
        </w:rPr>
        <w:t>5</w:t>
      </w:r>
      <w:r>
        <w:rPr>
          <w:rFonts w:asciiTheme="minorEastAsia" w:eastAsiaTheme="minorEastAsia" w:hAnsiTheme="minorEastAsia" w:cstheme="minorEastAsia" w:hint="default"/>
          <w:color w:val="auto"/>
        </w:rPr>
        <w:t>心脑血管药理学</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0</w:t>
      </w:r>
      <w:r>
        <w:rPr>
          <w:rFonts w:asciiTheme="minorEastAsia" w:eastAsiaTheme="minorEastAsia" w:hAnsiTheme="minorEastAsia" w:cstheme="minorEastAsia" w:hint="default"/>
          <w:color w:val="auto"/>
        </w:rPr>
        <w:t>6</w:t>
      </w:r>
      <w:r>
        <w:rPr>
          <w:rFonts w:asciiTheme="minorEastAsia" w:eastAsiaTheme="minorEastAsia" w:hAnsiTheme="minorEastAsia" w:cstheme="minorEastAsia" w:hint="default"/>
          <w:color w:val="auto"/>
        </w:rPr>
        <w:t>抗炎免疫与代谢性疾病药理学</w:t>
      </w:r>
    </w:p>
    <w:p w:rsidR="00621C69" w:rsidRDefault="00FB5926">
      <w:pPr>
        <w:pStyle w:val="Default"/>
        <w:widowControl/>
        <w:snapToGrid w:val="0"/>
        <w:spacing w:afterLines="50" w:after="156"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三、学制和学习年限</w:t>
      </w:r>
    </w:p>
    <w:p w:rsidR="00621C69" w:rsidRDefault="00FB5926">
      <w:pPr>
        <w:pStyle w:val="Default"/>
        <w:widowControl/>
        <w:snapToGrid w:val="0"/>
        <w:spacing w:line="360" w:lineRule="auto"/>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全日制硕士研究生的学制为</w:t>
      </w:r>
      <w:r>
        <w:rPr>
          <w:rFonts w:asciiTheme="minorEastAsia" w:eastAsiaTheme="minorEastAsia" w:hAnsiTheme="minorEastAsia" w:cstheme="minorEastAsia"/>
          <w:color w:val="auto"/>
        </w:rPr>
        <w:t>3</w:t>
      </w:r>
      <w:r>
        <w:rPr>
          <w:rFonts w:asciiTheme="minorEastAsia" w:eastAsiaTheme="minorEastAsia" w:hAnsiTheme="minorEastAsia" w:cstheme="minorEastAsia"/>
          <w:color w:val="auto"/>
        </w:rPr>
        <w:t>年。研究生的课程集中学习时间为半年；半年后进入培养单位、学科（教研室）、科室在导师指导下，按培养方案的要求，进行后续的培养工作。研究生可以分阶段完成学业，除另有规定外，最长学习时间（含休学）为</w:t>
      </w:r>
      <w:r>
        <w:rPr>
          <w:rFonts w:asciiTheme="minorEastAsia" w:eastAsiaTheme="minorEastAsia" w:hAnsiTheme="minorEastAsia" w:cstheme="minorEastAsia"/>
          <w:color w:val="auto"/>
        </w:rPr>
        <w:t>6</w:t>
      </w:r>
      <w:r>
        <w:rPr>
          <w:rFonts w:asciiTheme="minorEastAsia" w:eastAsiaTheme="minorEastAsia" w:hAnsiTheme="minorEastAsia" w:cstheme="minorEastAsia"/>
          <w:color w:val="auto"/>
        </w:rPr>
        <w:t>年。毕业时未达到学位授予条件者，自取得毕业证之日起，</w:t>
      </w:r>
      <w:r>
        <w:rPr>
          <w:rFonts w:asciiTheme="minorEastAsia" w:eastAsiaTheme="minorEastAsia" w:hAnsiTheme="minorEastAsia" w:cstheme="minorEastAsia"/>
          <w:color w:val="auto"/>
        </w:rPr>
        <w:t>2</w:t>
      </w:r>
      <w:r>
        <w:rPr>
          <w:rFonts w:asciiTheme="minorEastAsia" w:eastAsiaTheme="minorEastAsia" w:hAnsiTheme="minorEastAsia" w:cstheme="minorEastAsia"/>
          <w:color w:val="auto"/>
        </w:rPr>
        <w:t>年内可向学校申请学位。</w:t>
      </w:r>
    </w:p>
    <w:p w:rsidR="00621C69" w:rsidRDefault="00FB5926">
      <w:pPr>
        <w:pStyle w:val="Default"/>
        <w:widowControl/>
        <w:snapToGrid w:val="0"/>
        <w:spacing w:line="440" w:lineRule="exact"/>
        <w:ind w:firstLineChars="174" w:firstLine="419"/>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四、培养方式</w:t>
      </w:r>
      <w:r>
        <w:rPr>
          <w:rFonts w:asciiTheme="minorEastAsia" w:eastAsiaTheme="minorEastAsia" w:hAnsiTheme="minorEastAsia" w:cstheme="minorEastAsia"/>
          <w:b/>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集中学习的课程，由研究生院统一组织教学。</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政治理论课学习与经常性政治教育相结合。研究生应认真学好政治理论课，</w:t>
      </w:r>
      <w:r>
        <w:rPr>
          <w:rFonts w:asciiTheme="minorEastAsia" w:eastAsiaTheme="minorEastAsia" w:hAnsiTheme="minorEastAsia" w:cstheme="minorEastAsia"/>
          <w:color w:val="auto"/>
        </w:rPr>
        <w:t xml:space="preserve"> </w:t>
      </w:r>
      <w:r>
        <w:rPr>
          <w:rFonts w:asciiTheme="minorEastAsia" w:eastAsiaTheme="minorEastAsia" w:hAnsiTheme="minorEastAsia" w:cstheme="minorEastAsia"/>
          <w:color w:val="auto"/>
        </w:rPr>
        <w:t>积极参加政治学习与形势任务教育，参加公益劳动。政治理论课程由研究生院组织教学；研究生德育教育第一责任人为导师，同时由培养单位、学科、研究室、教研室、实验室共同负责，将业务教育与思想品德教育紧密结合，采用多种教育形式，以提高研究生的思想品德素质。</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lastRenderedPageBreak/>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习方式采用在导师和指导小组成员的指导下，进行课堂教学、自学、学术讨论等多种形式，使学生进一步拓宽知识范围，掌握学科发展的前沿动态。在科学研究方面，结合导师的研究课题，运用先进的、高水平的科研工作方法和手段，重点培养独立从事本学科领域创造性研究工作的能力。课程结</w:t>
      </w:r>
      <w:r>
        <w:rPr>
          <w:rFonts w:asciiTheme="minorEastAsia" w:eastAsiaTheme="minorEastAsia" w:hAnsiTheme="minorEastAsia" w:cstheme="minorEastAsia"/>
          <w:color w:val="auto"/>
        </w:rPr>
        <w:t>束后应通过考试评定成绩。</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硕士生的培养实行导师负责和集体培养相结合的办法。成立硕士生指导小组，导师任组长，另有</w:t>
      </w:r>
      <w:r>
        <w:rPr>
          <w:rFonts w:asciiTheme="minorEastAsia" w:eastAsiaTheme="minorEastAsia" w:hAnsiTheme="minorEastAsia" w:cstheme="minorEastAsia"/>
          <w:color w:val="auto"/>
        </w:rPr>
        <w:t>3</w:t>
      </w:r>
      <w:r>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5</w:t>
      </w:r>
      <w:r>
        <w:rPr>
          <w:rFonts w:asciiTheme="minorEastAsia" w:eastAsiaTheme="minorEastAsia" w:hAnsiTheme="minorEastAsia" w:cstheme="minorEastAsia"/>
          <w:color w:val="auto"/>
        </w:rPr>
        <w:t>名本专业和</w:t>
      </w:r>
      <w:r>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或相关学科专业的专家。主要做好以下几方面工作：</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1</w:t>
      </w:r>
      <w:r>
        <w:rPr>
          <w:rFonts w:asciiTheme="minorEastAsia" w:eastAsiaTheme="minorEastAsia" w:hAnsiTheme="minorEastAsia" w:cstheme="minorEastAsia"/>
          <w:color w:val="auto"/>
        </w:rPr>
        <w:t>）结合研究方向，指导研究生制定个性化的培养计划，并督促检查其实施；</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2</w:t>
      </w:r>
      <w:r>
        <w:rPr>
          <w:rFonts w:asciiTheme="minorEastAsia" w:eastAsiaTheme="minorEastAsia" w:hAnsiTheme="minorEastAsia" w:cstheme="minorEastAsia"/>
          <w:color w:val="auto"/>
        </w:rPr>
        <w:t>）对硕士研究生进行政治思想、学风、品德等方面的教育；</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3</w:t>
      </w:r>
      <w:r>
        <w:rPr>
          <w:rFonts w:asciiTheme="minorEastAsia" w:eastAsiaTheme="minorEastAsia" w:hAnsiTheme="minorEastAsia" w:cstheme="minorEastAsia"/>
          <w:color w:val="auto"/>
        </w:rPr>
        <w:t>）全面指导和检查硕士研究生的课程学习、科学研究和学位论文工作。</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五、课程学习</w:t>
      </w:r>
    </w:p>
    <w:p w:rsidR="00621C69" w:rsidRDefault="00FB5926">
      <w:pPr>
        <w:widowControl/>
        <w:adjustRightInd w:val="0"/>
        <w:snapToGrid w:val="0"/>
        <w:spacing w:line="440" w:lineRule="exact"/>
        <w:ind w:firstLineChars="200" w:firstLine="480"/>
        <w:rPr>
          <w:rFonts w:asciiTheme="minorEastAsia" w:hAnsiTheme="minorEastAsia" w:cstheme="minorEastAsia"/>
          <w:sz w:val="24"/>
        </w:rPr>
      </w:pPr>
      <w:r>
        <w:rPr>
          <w:rFonts w:asciiTheme="minorEastAsia" w:hAnsiTheme="minorEastAsia" w:cstheme="minorEastAsia" w:hint="eastAsia"/>
          <w:kern w:val="0"/>
          <w:sz w:val="24"/>
          <w:lang w:bidi="ar"/>
        </w:rPr>
        <w:t>研究生的课程分为公共课、专业基础课、专业课、选修课四大类别。其中公共课、专业基础课、专业课为学位课程</w:t>
      </w:r>
      <w:r>
        <w:rPr>
          <w:rFonts w:asciiTheme="minorEastAsia" w:hAnsiTheme="minorEastAsia" w:cstheme="minorEastAsia" w:hint="eastAsia"/>
          <w:kern w:val="0"/>
          <w:sz w:val="24"/>
          <w:lang w:bidi="ar"/>
        </w:rPr>
        <w:t>,</w:t>
      </w:r>
      <w:r>
        <w:rPr>
          <w:rFonts w:asciiTheme="minorEastAsia" w:hAnsiTheme="minorEastAsia" w:cstheme="minorEastAsia" w:hint="eastAsia"/>
          <w:kern w:val="0"/>
          <w:sz w:val="24"/>
          <w:lang w:bidi="ar"/>
        </w:rPr>
        <w:t>选修课为非学</w:t>
      </w:r>
      <w:r>
        <w:rPr>
          <w:rFonts w:asciiTheme="minorEastAsia" w:hAnsiTheme="minorEastAsia" w:cstheme="minorEastAsia" w:hint="eastAsia"/>
          <w:kern w:val="0"/>
          <w:sz w:val="24"/>
          <w:lang w:bidi="ar"/>
        </w:rPr>
        <w:t>位课程。</w:t>
      </w:r>
    </w:p>
    <w:p w:rsidR="00621C69" w:rsidRDefault="00FB5926">
      <w:pPr>
        <w:widowControl/>
        <w:adjustRightInd w:val="0"/>
        <w:snapToGrid w:val="0"/>
        <w:spacing w:line="440" w:lineRule="exact"/>
        <w:ind w:firstLineChars="200" w:firstLine="480"/>
        <w:rPr>
          <w:rFonts w:asciiTheme="minorEastAsia" w:hAnsiTheme="minorEastAsia" w:cstheme="minorEastAsia"/>
          <w:sz w:val="24"/>
        </w:rPr>
      </w:pPr>
      <w:r>
        <w:rPr>
          <w:rFonts w:asciiTheme="minorEastAsia" w:hAnsiTheme="minorEastAsia" w:cstheme="minorEastAsia" w:hint="eastAsia"/>
          <w:kern w:val="0"/>
          <w:sz w:val="24"/>
          <w:lang w:bidi="ar"/>
        </w:rPr>
        <w:t>课程学习实行学分制。硕士研究生在中期考核前，理论课程学习总学分不低于</w:t>
      </w:r>
      <w:r>
        <w:rPr>
          <w:rFonts w:asciiTheme="minorEastAsia" w:hAnsiTheme="minorEastAsia" w:cstheme="minorEastAsia"/>
          <w:kern w:val="0"/>
          <w:sz w:val="24"/>
          <w:lang w:bidi="ar"/>
        </w:rPr>
        <w:t>28</w:t>
      </w:r>
      <w:r>
        <w:rPr>
          <w:rFonts w:asciiTheme="minorEastAsia" w:hAnsiTheme="minorEastAsia" w:cstheme="minorEastAsia" w:hint="eastAsia"/>
          <w:kern w:val="0"/>
          <w:sz w:val="24"/>
          <w:lang w:bidi="ar"/>
        </w:rPr>
        <w:t>学分，其中学位课程不少于</w:t>
      </w:r>
      <w:r>
        <w:rPr>
          <w:rFonts w:asciiTheme="minorEastAsia" w:hAnsiTheme="minorEastAsia" w:cstheme="minorEastAsia"/>
          <w:kern w:val="0"/>
          <w:sz w:val="24"/>
          <w:lang w:bidi="ar"/>
        </w:rPr>
        <w:t>24</w:t>
      </w:r>
      <w:r>
        <w:rPr>
          <w:rFonts w:asciiTheme="minorEastAsia" w:hAnsiTheme="minorEastAsia" w:cstheme="minorEastAsia" w:hint="eastAsia"/>
          <w:kern w:val="0"/>
          <w:sz w:val="24"/>
          <w:lang w:bidi="ar"/>
        </w:rPr>
        <w:t>学分。跨专业录取的研究生，必须补修若干门本专业本科生的主干课程，由指导教师提出，列入研究生培养计划，考核成绩报研究生院，但不计入规定的总学分。</w:t>
      </w:r>
      <w:r>
        <w:rPr>
          <w:rFonts w:asciiTheme="minorEastAsia" w:hAnsiTheme="minorEastAsia" w:cstheme="minorEastAsia" w:hint="eastAsia"/>
          <w:kern w:val="0"/>
          <w:sz w:val="24"/>
          <w:lang w:bidi="ar"/>
        </w:rPr>
        <w:t xml:space="preserve"> </w:t>
      </w:r>
      <w:r>
        <w:rPr>
          <w:rFonts w:asciiTheme="minorEastAsia" w:hAnsiTheme="minorEastAsia" w:cstheme="minorEastAsia" w:hint="eastAsia"/>
          <w:kern w:val="0"/>
          <w:sz w:val="24"/>
          <w:lang w:bidi="ar"/>
        </w:rPr>
        <w:t>鼓励报考本校研究生的本科生、参加大学生创业竞赛等活动的本科生选修研究生课程，所修学分计入研究生课程成绩。</w:t>
      </w:r>
    </w:p>
    <w:p w:rsidR="00621C69" w:rsidRDefault="00FB5926">
      <w:pPr>
        <w:widowControl/>
        <w:adjustRightInd w:val="0"/>
        <w:snapToGrid w:val="0"/>
        <w:spacing w:afterLines="50" w:after="156" w:line="440" w:lineRule="exact"/>
        <w:jc w:val="center"/>
        <w:rPr>
          <w:rFonts w:asciiTheme="minorEastAsia" w:hAnsiTheme="minorEastAsia" w:cstheme="minorEastAsia"/>
          <w:b/>
          <w:kern w:val="0"/>
          <w:szCs w:val="21"/>
          <w:lang w:bidi="ar"/>
        </w:rPr>
      </w:pPr>
      <w:r>
        <w:rPr>
          <w:rFonts w:asciiTheme="minorEastAsia" w:hAnsiTheme="minorEastAsia" w:cstheme="minorEastAsia" w:hint="eastAsia"/>
          <w:b/>
          <w:kern w:val="0"/>
          <w:szCs w:val="21"/>
          <w:lang w:bidi="ar"/>
        </w:rPr>
        <w:t>药学学术型硕士研究生课程设置</w:t>
      </w:r>
    </w:p>
    <w:tbl>
      <w:tblPr>
        <w:tblStyle w:val="a9"/>
        <w:tblW w:w="8522" w:type="dxa"/>
        <w:tblLayout w:type="fixed"/>
        <w:tblLook w:val="04A0" w:firstRow="1" w:lastRow="0" w:firstColumn="1" w:lastColumn="0" w:noHBand="0" w:noVBand="1"/>
      </w:tblPr>
      <w:tblGrid>
        <w:gridCol w:w="1129"/>
        <w:gridCol w:w="3799"/>
        <w:gridCol w:w="992"/>
        <w:gridCol w:w="851"/>
        <w:gridCol w:w="708"/>
        <w:gridCol w:w="1043"/>
      </w:tblGrid>
      <w:tr w:rsidR="00621C69">
        <w:trPr>
          <w:trHeight w:val="71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课程编号</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课程名称</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学时</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学分</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开课学期</w:t>
            </w:r>
          </w:p>
        </w:tc>
        <w:tc>
          <w:tcPr>
            <w:tcW w:w="1043"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备注</w:t>
            </w:r>
          </w:p>
        </w:tc>
      </w:tr>
      <w:tr w:rsidR="00621C69">
        <w:trPr>
          <w:trHeight w:val="540"/>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b/>
                <w:szCs w:val="21"/>
              </w:rPr>
            </w:pPr>
            <w:r>
              <w:rPr>
                <w:rFonts w:asciiTheme="minorEastAsia" w:hAnsiTheme="minorEastAsia" w:cstheme="minorEastAsia" w:hint="eastAsia"/>
                <w:b/>
                <w:szCs w:val="21"/>
                <w:lang w:bidi="ar"/>
              </w:rPr>
              <w:t>公共必修课（</w:t>
            </w:r>
            <w:r>
              <w:rPr>
                <w:rFonts w:asciiTheme="minorEastAsia" w:hAnsiTheme="minorEastAsia" w:cstheme="minorEastAsia"/>
                <w:b/>
                <w:szCs w:val="21"/>
                <w:lang w:bidi="ar"/>
              </w:rPr>
              <w:t>10</w:t>
            </w:r>
            <w:r>
              <w:rPr>
                <w:rFonts w:asciiTheme="minorEastAsia" w:hAnsiTheme="minorEastAsia" w:cstheme="minorEastAsia" w:hint="eastAsia"/>
                <w:b/>
                <w:szCs w:val="21"/>
                <w:lang w:bidi="ar"/>
              </w:rPr>
              <w:t>学分及以上）</w:t>
            </w:r>
          </w:p>
        </w:tc>
      </w:tr>
      <w:tr w:rsidR="00621C69">
        <w:trPr>
          <w:trHeight w:val="40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S00900</w:t>
            </w:r>
            <w:r>
              <w:rPr>
                <w:rFonts w:asciiTheme="minorEastAsia" w:hAnsiTheme="minorEastAsia" w:cstheme="minorEastAsia"/>
                <w:szCs w:val="21"/>
                <w:lang w:bidi="ar"/>
              </w:rPr>
              <w:t>2</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自然辩证法</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36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043" w:type="dxa"/>
            <w:tcBorders>
              <w:top w:val="single" w:sz="4" w:space="0" w:color="auto"/>
              <w:left w:val="nil"/>
              <w:bottom w:val="single" w:sz="4" w:space="0" w:color="auto"/>
              <w:right w:val="single" w:sz="4" w:space="0" w:color="auto"/>
            </w:tcBorders>
            <w:shd w:val="clear" w:color="auto" w:fill="auto"/>
            <w:vAlign w:val="center"/>
          </w:tcPr>
          <w:p w:rsidR="00621C69" w:rsidRDefault="00A7604C">
            <w:pPr>
              <w:jc w:val="center"/>
              <w:rPr>
                <w:rFonts w:asciiTheme="minorEastAsia" w:hAnsiTheme="minorEastAsia" w:cstheme="minorEastAsia"/>
                <w:szCs w:val="21"/>
              </w:rPr>
            </w:pPr>
            <w:r>
              <w:rPr>
                <w:rFonts w:asciiTheme="minorEastAsia" w:hAnsiTheme="minorEastAsia" w:cstheme="minorEastAsia" w:hint="eastAsia"/>
                <w:szCs w:val="21"/>
              </w:rPr>
              <w:t>必修</w:t>
            </w:r>
          </w:p>
        </w:tc>
      </w:tr>
      <w:tr w:rsidR="00621C69">
        <w:trPr>
          <w:trHeight w:val="427"/>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S009050</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中国特色社会主义理论与实践</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36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1</w:t>
            </w:r>
          </w:p>
        </w:tc>
        <w:tc>
          <w:tcPr>
            <w:tcW w:w="1043" w:type="dxa"/>
            <w:tcBorders>
              <w:top w:val="single" w:sz="4" w:space="0" w:color="auto"/>
              <w:left w:val="nil"/>
              <w:bottom w:val="single" w:sz="4" w:space="0" w:color="auto"/>
              <w:right w:val="single" w:sz="4" w:space="0" w:color="auto"/>
            </w:tcBorders>
            <w:shd w:val="clear" w:color="auto" w:fill="auto"/>
            <w:vAlign w:val="center"/>
          </w:tcPr>
          <w:p w:rsidR="00621C69" w:rsidRDefault="00A7604C">
            <w:pPr>
              <w:jc w:val="center"/>
              <w:rPr>
                <w:rFonts w:asciiTheme="minorEastAsia" w:hAnsiTheme="minorEastAsia" w:cstheme="minorEastAsia"/>
                <w:szCs w:val="21"/>
              </w:rPr>
            </w:pPr>
            <w:r>
              <w:rPr>
                <w:rFonts w:asciiTheme="minorEastAsia" w:hAnsiTheme="minorEastAsia" w:cstheme="minorEastAsia" w:hint="eastAsia"/>
                <w:szCs w:val="21"/>
              </w:rPr>
              <w:t>必修</w:t>
            </w:r>
          </w:p>
        </w:tc>
      </w:tr>
      <w:tr w:rsidR="00621C69">
        <w:trPr>
          <w:trHeight w:val="41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S007002/ S007004</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公共英语</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1</w:t>
            </w:r>
          </w:p>
        </w:tc>
        <w:tc>
          <w:tcPr>
            <w:tcW w:w="1043" w:type="dxa"/>
            <w:tcBorders>
              <w:top w:val="single" w:sz="4" w:space="0" w:color="auto"/>
              <w:left w:val="nil"/>
              <w:bottom w:val="single" w:sz="4" w:space="0" w:color="auto"/>
              <w:right w:val="single" w:sz="4" w:space="0" w:color="auto"/>
            </w:tcBorders>
            <w:shd w:val="clear" w:color="auto" w:fill="auto"/>
            <w:vAlign w:val="center"/>
          </w:tcPr>
          <w:p w:rsidR="00621C69" w:rsidRDefault="00A7604C">
            <w:pPr>
              <w:jc w:val="center"/>
              <w:rPr>
                <w:rFonts w:asciiTheme="minorEastAsia" w:hAnsiTheme="minorEastAsia" w:cstheme="minorEastAsia"/>
                <w:szCs w:val="21"/>
              </w:rPr>
            </w:pPr>
            <w:r>
              <w:rPr>
                <w:rFonts w:asciiTheme="minorEastAsia" w:hAnsiTheme="minorEastAsia" w:cstheme="minorEastAsia" w:hint="eastAsia"/>
                <w:szCs w:val="21"/>
              </w:rPr>
              <w:t>必修</w:t>
            </w:r>
          </w:p>
        </w:tc>
      </w:tr>
      <w:tr w:rsidR="00621C69">
        <w:trPr>
          <w:trHeight w:val="41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B004023</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rPr>
              <w:t>药学</w:t>
            </w:r>
            <w:r>
              <w:rPr>
                <w:rFonts w:asciiTheme="minorEastAsia" w:hAnsiTheme="minorEastAsia" w:cstheme="minorEastAsia"/>
                <w:szCs w:val="21"/>
              </w:rPr>
              <w:t>前沿讲座</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rPr>
              <w:t>1</w:t>
            </w:r>
          </w:p>
        </w:tc>
        <w:tc>
          <w:tcPr>
            <w:tcW w:w="1043" w:type="dxa"/>
            <w:vMerge w:val="restart"/>
            <w:tcBorders>
              <w:top w:val="single" w:sz="4" w:space="0" w:color="auto"/>
              <w:left w:val="nil"/>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二选一</w:t>
            </w:r>
          </w:p>
        </w:tc>
      </w:tr>
      <w:tr w:rsidR="00621C69">
        <w:trPr>
          <w:trHeight w:val="41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B00201</w:t>
            </w:r>
            <w:r>
              <w:rPr>
                <w:rFonts w:asciiTheme="minorEastAsia" w:hAnsiTheme="minorEastAsia" w:cstheme="minorEastAsia" w:hint="eastAsia"/>
                <w:szCs w:val="21"/>
                <w:lang w:bidi="ar"/>
              </w:rPr>
              <w:t>5</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系统生物学研究思路与策略</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1</w:t>
            </w:r>
          </w:p>
        </w:tc>
        <w:tc>
          <w:tcPr>
            <w:tcW w:w="1043" w:type="dxa"/>
            <w:vMerge/>
            <w:tcBorders>
              <w:left w:val="nil"/>
              <w:bottom w:val="single" w:sz="4" w:space="0" w:color="auto"/>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widowControl/>
              <w:spacing w:line="360" w:lineRule="auto"/>
              <w:jc w:val="center"/>
              <w:rPr>
                <w:rFonts w:asciiTheme="minorEastAsia" w:hAnsiTheme="minorEastAsia" w:cstheme="minorEastAsia"/>
                <w:sz w:val="24"/>
              </w:rPr>
            </w:pPr>
            <w:r>
              <w:rPr>
                <w:rFonts w:asciiTheme="minorEastAsia" w:hAnsiTheme="minorEastAsia" w:cstheme="minorEastAsia" w:hint="eastAsia"/>
                <w:b/>
                <w:szCs w:val="21"/>
                <w:lang w:bidi="ar"/>
              </w:rPr>
              <w:t>专业基础课（</w:t>
            </w:r>
            <w:r>
              <w:rPr>
                <w:rFonts w:asciiTheme="minorEastAsia" w:hAnsiTheme="minorEastAsia" w:cstheme="minorEastAsia"/>
                <w:b/>
                <w:szCs w:val="21"/>
                <w:lang w:bidi="ar"/>
              </w:rPr>
              <w:t>10</w:t>
            </w:r>
            <w:r>
              <w:rPr>
                <w:rFonts w:asciiTheme="minorEastAsia" w:hAnsiTheme="minorEastAsia" w:cstheme="minorEastAsia" w:hint="eastAsia"/>
                <w:b/>
                <w:szCs w:val="21"/>
                <w:lang w:bidi="ar"/>
              </w:rPr>
              <w:t>学分及</w:t>
            </w:r>
            <w:r>
              <w:rPr>
                <w:rFonts w:asciiTheme="minorEastAsia" w:hAnsiTheme="minorEastAsia" w:cstheme="minorEastAsia"/>
                <w:b/>
                <w:szCs w:val="21"/>
                <w:lang w:bidi="ar"/>
              </w:rPr>
              <w:t>以上</w:t>
            </w:r>
            <w:r>
              <w:rPr>
                <w:rFonts w:asciiTheme="minorEastAsia" w:hAnsiTheme="minorEastAsia" w:cstheme="minorEastAsia" w:hint="eastAsia"/>
                <w:b/>
                <w:szCs w:val="21"/>
                <w:lang w:bidi="ar"/>
              </w:rPr>
              <w:t>）</w:t>
            </w: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S016003</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生物统计学</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36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1</w:t>
            </w:r>
          </w:p>
        </w:tc>
        <w:tc>
          <w:tcPr>
            <w:tcW w:w="1043" w:type="dxa"/>
            <w:tcBorders>
              <w:top w:val="single" w:sz="4" w:space="0" w:color="auto"/>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rPr>
            </w:pPr>
            <w:bookmarkStart w:id="0" w:name="_GoBack"/>
            <w:bookmarkEnd w:id="0"/>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lastRenderedPageBreak/>
              <w:t>S</w:t>
            </w:r>
            <w:r>
              <w:rPr>
                <w:rFonts w:asciiTheme="minorEastAsia" w:hAnsiTheme="minorEastAsia" w:cstheme="minorEastAsia"/>
                <w:szCs w:val="21"/>
                <w:lang w:bidi="ar"/>
              </w:rPr>
              <w:t>016002</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生物技术与方法</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1043" w:type="dxa"/>
            <w:tcBorders>
              <w:top w:val="single" w:sz="4" w:space="0" w:color="auto"/>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S004099</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现代仪器分析技术</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S004106</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药学研究导论</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S004108</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高等有机化学</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54</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S004105</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科学伦理与实验安全</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18</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必修</w:t>
            </w: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w:t>
            </w:r>
            <w:r>
              <w:rPr>
                <w:rFonts w:asciiTheme="minorEastAsia" w:hAnsiTheme="minorEastAsia" w:cstheme="minorEastAsia"/>
                <w:szCs w:val="21"/>
                <w:lang w:bidi="ar"/>
              </w:rPr>
              <w:t>117</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论文写作指导（药学类）</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r>
              <w:rPr>
                <w:rFonts w:asciiTheme="minorEastAsia" w:hAnsiTheme="minorEastAsia" w:cstheme="minorEastAsia"/>
                <w:szCs w:val="21"/>
                <w:lang w:bidi="ar"/>
              </w:rPr>
              <w:t>8</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szCs w:val="21"/>
              </w:rPr>
              <w:t>必修</w:t>
            </w:r>
          </w:p>
        </w:tc>
      </w:tr>
      <w:tr w:rsidR="00621C69">
        <w:trPr>
          <w:trHeight w:val="34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rPr>
            </w:pPr>
            <w:r>
              <w:rPr>
                <w:rFonts w:asciiTheme="minorEastAsia" w:hAnsiTheme="minorEastAsia" w:cstheme="minorEastAsia" w:hint="eastAsia"/>
                <w:b/>
                <w:szCs w:val="21"/>
                <w:lang w:bidi="ar"/>
              </w:rPr>
              <w:t>专业课（</w:t>
            </w:r>
            <w:r>
              <w:rPr>
                <w:rFonts w:asciiTheme="minorEastAsia" w:hAnsiTheme="minorEastAsia" w:cstheme="minorEastAsia"/>
                <w:b/>
                <w:szCs w:val="21"/>
                <w:lang w:bidi="ar"/>
              </w:rPr>
              <w:t>4</w:t>
            </w:r>
            <w:r>
              <w:rPr>
                <w:rFonts w:asciiTheme="minorEastAsia" w:hAnsiTheme="minorEastAsia" w:cstheme="minorEastAsia" w:hint="eastAsia"/>
                <w:b/>
                <w:szCs w:val="21"/>
                <w:lang w:bidi="ar"/>
              </w:rPr>
              <w:t>学分及以上）</w:t>
            </w: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 xml:space="preserve">S004109 </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药物合成化学</w:t>
            </w:r>
            <w:r>
              <w:rPr>
                <w:rFonts w:asciiTheme="minorEastAsia" w:hAnsiTheme="minorEastAsia" w:cstheme="minorEastAsia" w:hint="eastAsia"/>
                <w:szCs w:val="21"/>
                <w:lang w:bidi="ar"/>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S004002</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波谱</w:t>
            </w:r>
            <w:r>
              <w:rPr>
                <w:rFonts w:asciiTheme="minorEastAsia" w:hAnsiTheme="minorEastAsia" w:cstheme="minorEastAsia" w:hint="eastAsia"/>
                <w:szCs w:val="21"/>
                <w:lang w:bidi="ar"/>
              </w:rPr>
              <w:t>解</w:t>
            </w:r>
            <w:r>
              <w:rPr>
                <w:rFonts w:asciiTheme="minorEastAsia" w:hAnsiTheme="minorEastAsia" w:cstheme="minorEastAsia" w:hint="eastAsia"/>
                <w:szCs w:val="21"/>
                <w:lang w:bidi="ar"/>
              </w:rPr>
              <w:t>析</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S004087</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药物分析选论</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S004024</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中药药剂学选论</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S004103</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中药与天然药物化学选论</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2</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349"/>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S004016</w:t>
            </w:r>
          </w:p>
        </w:tc>
        <w:tc>
          <w:tcPr>
            <w:tcW w:w="3799"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中药药理学选论</w:t>
            </w:r>
          </w:p>
        </w:tc>
        <w:tc>
          <w:tcPr>
            <w:tcW w:w="992"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3</w:t>
            </w:r>
            <w:r>
              <w:rPr>
                <w:rFonts w:asciiTheme="minorEastAsia" w:hAnsiTheme="minorEastAsia" w:cstheme="minorEastAsia"/>
                <w:szCs w:val="21"/>
                <w:lang w:bidi="ar"/>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hint="eastAsia"/>
                <w:szCs w:val="21"/>
                <w:lang w:bidi="ar"/>
              </w:rPr>
              <w:t>2</w:t>
            </w:r>
          </w:p>
        </w:tc>
        <w:tc>
          <w:tcPr>
            <w:tcW w:w="708" w:type="dxa"/>
            <w:tcBorders>
              <w:top w:val="single" w:sz="4" w:space="0" w:color="auto"/>
              <w:left w:val="nil"/>
              <w:bottom w:val="single" w:sz="4" w:space="0" w:color="auto"/>
              <w:right w:val="single" w:sz="4" w:space="0" w:color="auto"/>
            </w:tcBorders>
            <w:shd w:val="clear" w:color="auto" w:fill="auto"/>
            <w:vAlign w:val="center"/>
          </w:tcPr>
          <w:p w:rsidR="00621C69" w:rsidRDefault="00FB5926">
            <w:pPr>
              <w:jc w:val="center"/>
              <w:rPr>
                <w:rFonts w:asciiTheme="minorEastAsia" w:hAnsiTheme="minorEastAsia" w:cstheme="minorEastAsia"/>
                <w:szCs w:val="21"/>
                <w:lang w:bidi="ar"/>
              </w:rPr>
            </w:pPr>
            <w:r>
              <w:rPr>
                <w:rFonts w:asciiTheme="minorEastAsia" w:hAnsiTheme="minorEastAsia" w:cstheme="minorEastAsia"/>
                <w:szCs w:val="21"/>
                <w:lang w:bidi="ar"/>
              </w:rPr>
              <w:t>1</w:t>
            </w:r>
          </w:p>
        </w:tc>
        <w:tc>
          <w:tcPr>
            <w:tcW w:w="1043" w:type="dxa"/>
            <w:tcBorders>
              <w:left w:val="nil"/>
              <w:right w:val="single" w:sz="4" w:space="0" w:color="auto"/>
            </w:tcBorders>
            <w:shd w:val="clear" w:color="auto" w:fill="auto"/>
            <w:vAlign w:val="center"/>
          </w:tcPr>
          <w:p w:rsidR="00621C69" w:rsidRDefault="00621C69">
            <w:pPr>
              <w:jc w:val="center"/>
              <w:rPr>
                <w:rFonts w:asciiTheme="minorEastAsia" w:hAnsiTheme="minorEastAsia" w:cstheme="minorEastAsia"/>
                <w:szCs w:val="21"/>
                <w:lang w:bidi="ar"/>
              </w:rPr>
            </w:pPr>
          </w:p>
        </w:tc>
      </w:tr>
      <w:tr w:rsidR="00621C69">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widowControl/>
              <w:spacing w:line="360" w:lineRule="auto"/>
              <w:jc w:val="center"/>
              <w:rPr>
                <w:rFonts w:asciiTheme="minorEastAsia" w:hAnsiTheme="minorEastAsia" w:cstheme="minorEastAsia"/>
                <w:szCs w:val="21"/>
                <w:lang w:bidi="ar"/>
              </w:rPr>
            </w:pPr>
            <w:r>
              <w:rPr>
                <w:rFonts w:asciiTheme="minorEastAsia" w:hAnsiTheme="minorEastAsia" w:cstheme="minorEastAsia" w:hint="eastAsia"/>
                <w:b/>
                <w:szCs w:val="21"/>
                <w:lang w:bidi="ar"/>
              </w:rPr>
              <w:t>选修课（</w:t>
            </w:r>
            <w:r>
              <w:rPr>
                <w:rFonts w:asciiTheme="minorEastAsia" w:hAnsiTheme="minorEastAsia" w:cstheme="minorEastAsia"/>
                <w:b/>
                <w:szCs w:val="21"/>
                <w:lang w:bidi="ar"/>
              </w:rPr>
              <w:t>4</w:t>
            </w:r>
            <w:r>
              <w:rPr>
                <w:rFonts w:asciiTheme="minorEastAsia" w:hAnsiTheme="minorEastAsia" w:cstheme="minorEastAsia" w:hint="eastAsia"/>
                <w:b/>
                <w:szCs w:val="21"/>
                <w:lang w:bidi="ar"/>
              </w:rPr>
              <w:t>学分及以上）</w:t>
            </w:r>
          </w:p>
        </w:tc>
      </w:tr>
      <w:tr w:rsidR="00621C69">
        <w:trPr>
          <w:trHeight w:val="29"/>
        </w:trPr>
        <w:tc>
          <w:tcPr>
            <w:tcW w:w="8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21C69" w:rsidRDefault="00FB5926">
            <w:pPr>
              <w:widowControl/>
              <w:spacing w:line="360" w:lineRule="auto"/>
              <w:jc w:val="center"/>
              <w:rPr>
                <w:rFonts w:asciiTheme="minorEastAsia" w:hAnsiTheme="minorEastAsia" w:cstheme="minorEastAsia"/>
                <w:b/>
                <w:szCs w:val="21"/>
              </w:rPr>
            </w:pPr>
            <w:r>
              <w:rPr>
                <w:rFonts w:asciiTheme="minorEastAsia" w:hAnsiTheme="minorEastAsia" w:cstheme="minorEastAsia" w:hint="eastAsia"/>
                <w:szCs w:val="21"/>
                <w:lang w:bidi="ar"/>
              </w:rPr>
              <w:t>基础理论类、学科前沿类、技术方法类、语言文化类、</w:t>
            </w:r>
            <w:r>
              <w:rPr>
                <w:rFonts w:asciiTheme="minorEastAsia" w:hAnsiTheme="minorEastAsia" w:cstheme="minorEastAsia"/>
                <w:szCs w:val="21"/>
                <w:lang w:bidi="ar"/>
              </w:rPr>
              <w:t>艺术鉴赏类</w:t>
            </w:r>
          </w:p>
        </w:tc>
      </w:tr>
    </w:tbl>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六、文献阅读</w:t>
      </w:r>
      <w:r>
        <w:rPr>
          <w:rFonts w:asciiTheme="minorEastAsia" w:eastAsiaTheme="minorEastAsia" w:hAnsiTheme="minorEastAsia" w:cstheme="minorEastAsia"/>
          <w:b/>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硕士研究生应在指导教师的指导下进行文献阅读，并完成研究领域相关的文献阅读报告</w:t>
      </w:r>
      <w:r>
        <w:rPr>
          <w:rFonts w:asciiTheme="minorEastAsia" w:eastAsiaTheme="minorEastAsia" w:hAnsiTheme="minorEastAsia" w:cstheme="minorEastAsia"/>
          <w:color w:val="auto"/>
        </w:rPr>
        <w:t>2</w:t>
      </w:r>
      <w:r>
        <w:rPr>
          <w:rFonts w:asciiTheme="minorEastAsia" w:eastAsiaTheme="minorEastAsia" w:hAnsiTheme="minorEastAsia" w:cstheme="minorEastAsia"/>
          <w:color w:val="auto"/>
        </w:rPr>
        <w:t>篇，其正文篇幅不少于</w:t>
      </w:r>
      <w:r>
        <w:rPr>
          <w:rFonts w:asciiTheme="minorEastAsia" w:eastAsiaTheme="minorEastAsia" w:hAnsiTheme="minorEastAsia" w:cstheme="minorEastAsia"/>
          <w:color w:val="auto"/>
        </w:rPr>
        <w:t>3000</w:t>
      </w:r>
      <w:r>
        <w:rPr>
          <w:rFonts w:asciiTheme="minorEastAsia" w:eastAsiaTheme="minorEastAsia" w:hAnsiTheme="minorEastAsia" w:cstheme="minorEastAsia"/>
          <w:color w:val="auto"/>
        </w:rPr>
        <w:t>字，由导师审核并评定成绩。</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七、学术活动</w:t>
      </w:r>
      <w:r>
        <w:rPr>
          <w:rFonts w:asciiTheme="minorEastAsia" w:eastAsiaTheme="minorEastAsia" w:hAnsiTheme="minorEastAsia" w:cstheme="minorEastAsia"/>
          <w:b/>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硕士研究生应在指导教师的指导下参与国内、国际学术会议或学术交流，学术活动包括学科范围（含学科）组织的各类学术活动和本人的学术报告或讲座。在申请学位论文答辩前必须参加</w:t>
      </w:r>
      <w:r>
        <w:rPr>
          <w:rFonts w:asciiTheme="minorEastAsia" w:eastAsiaTheme="minorEastAsia" w:hAnsiTheme="minorEastAsia" w:cstheme="minorEastAsia"/>
          <w:color w:val="auto"/>
        </w:rPr>
        <w:t>10</w:t>
      </w:r>
      <w:r>
        <w:rPr>
          <w:rFonts w:asciiTheme="minorEastAsia" w:eastAsiaTheme="minorEastAsia" w:hAnsiTheme="minorEastAsia" w:cstheme="minorEastAsia"/>
          <w:color w:val="auto"/>
        </w:rPr>
        <w:t>次以上的学术活动。参加学术活动均需填写《南京中医药大学硕士研究生参加学术活动登记本》，并由主办活动的单位签署意见，答辩前由导师审核签字，学术活动登记本存入研究生个人学习档案。</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2"/>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lang w:bidi="ar"/>
        </w:rPr>
        <w:t>八、教学实践</w:t>
      </w:r>
    </w:p>
    <w:p w:rsidR="00621C69" w:rsidRDefault="00FB5926">
      <w:pPr>
        <w:pStyle w:val="Default"/>
        <w:widowControl/>
        <w:snapToGrid w:val="0"/>
        <w:spacing w:line="440" w:lineRule="exact"/>
        <w:ind w:firstLine="465"/>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协助指导教师进行理论教学、实验教学不少于</w:t>
      </w:r>
      <w:r>
        <w:rPr>
          <w:rFonts w:asciiTheme="minorEastAsia" w:eastAsiaTheme="minorEastAsia" w:hAnsiTheme="minorEastAsia" w:cstheme="minorEastAsia"/>
          <w:color w:val="auto"/>
        </w:rPr>
        <w:t>8</w:t>
      </w:r>
      <w:r>
        <w:rPr>
          <w:rFonts w:asciiTheme="minorEastAsia" w:eastAsiaTheme="minorEastAsia" w:hAnsiTheme="minorEastAsia" w:cstheme="minorEastAsia"/>
          <w:color w:val="auto"/>
        </w:rPr>
        <w:t>学时或指导至少</w:t>
      </w:r>
      <w:r>
        <w:rPr>
          <w:rFonts w:asciiTheme="minorEastAsia" w:eastAsiaTheme="minorEastAsia" w:hAnsiTheme="minorEastAsia" w:cstheme="minorEastAsia"/>
          <w:color w:val="auto"/>
        </w:rPr>
        <w:t>1</w:t>
      </w:r>
      <w:r>
        <w:rPr>
          <w:rFonts w:asciiTheme="minorEastAsia" w:eastAsiaTheme="minorEastAsia" w:hAnsiTheme="minorEastAsia" w:cstheme="minorEastAsia"/>
          <w:color w:val="auto"/>
        </w:rPr>
        <w:t>名本科生实习、见习、科创赛等完成一个完整的实验专题单元。完成后填写《南京中医药大学研究生教学实</w:t>
      </w:r>
      <w:r>
        <w:rPr>
          <w:rFonts w:asciiTheme="minorEastAsia" w:eastAsiaTheme="minorEastAsia" w:hAnsiTheme="minorEastAsia" w:cstheme="minorEastAsia"/>
          <w:color w:val="auto"/>
        </w:rPr>
        <w:t>践考核表》，由指导教师考核评定成绩。具有教师资格证且在教学岗位上从事教学工作的硕士研究生可填写免修申请。</w:t>
      </w:r>
    </w:p>
    <w:p w:rsidR="00621C69" w:rsidRDefault="00FB5926">
      <w:pPr>
        <w:pStyle w:val="Default"/>
        <w:widowControl/>
        <w:snapToGrid w:val="0"/>
        <w:spacing w:line="440" w:lineRule="exact"/>
        <w:ind w:firstLine="465"/>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九、科研实践与学位论文工作</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1</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选题及开题</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硕士研究生在导师指导下广泛收集资料，阅读文献，参加科研，于第二学期写出研究课题的文献综述，确定研究课题，拟定课题的研究计划，并在第三学期</w:t>
      </w:r>
      <w:r>
        <w:rPr>
          <w:rFonts w:asciiTheme="minorEastAsia" w:eastAsiaTheme="minorEastAsia" w:hAnsiTheme="minorEastAsia" w:cstheme="minorEastAsia"/>
          <w:color w:val="auto"/>
        </w:rPr>
        <w:t>9</w:t>
      </w:r>
      <w:r>
        <w:rPr>
          <w:rFonts w:asciiTheme="minorEastAsia" w:eastAsiaTheme="minorEastAsia" w:hAnsiTheme="minorEastAsia" w:cstheme="minorEastAsia"/>
          <w:color w:val="auto"/>
        </w:rPr>
        <w:t>月</w:t>
      </w:r>
      <w:r>
        <w:rPr>
          <w:rFonts w:asciiTheme="minorEastAsia" w:eastAsiaTheme="minorEastAsia" w:hAnsiTheme="minorEastAsia" w:cstheme="minorEastAsia"/>
          <w:color w:val="auto"/>
        </w:rPr>
        <w:t>30</w:t>
      </w:r>
      <w:r>
        <w:rPr>
          <w:rFonts w:asciiTheme="minorEastAsia" w:eastAsiaTheme="minorEastAsia" w:hAnsiTheme="minorEastAsia" w:cstheme="minorEastAsia"/>
          <w:color w:val="auto"/>
        </w:rPr>
        <w:lastRenderedPageBreak/>
        <w:t>日</w:t>
      </w:r>
      <w:r>
        <w:rPr>
          <w:rFonts w:asciiTheme="minorEastAsia" w:eastAsiaTheme="minorEastAsia" w:hAnsiTheme="minorEastAsia" w:cstheme="minorEastAsia" w:hint="default"/>
          <w:color w:val="auto"/>
        </w:rPr>
        <w:t>前，</w:t>
      </w:r>
      <w:r>
        <w:rPr>
          <w:rFonts w:asciiTheme="minorEastAsia" w:eastAsiaTheme="minorEastAsia" w:hAnsiTheme="minorEastAsia" w:cstheme="minorEastAsia"/>
          <w:color w:val="auto"/>
        </w:rPr>
        <w:t>面向学科组织的专家小组进行开题，同时就选题的科学依据、研究内容、实验方法、预期目标、完成课题的条件等广泛征求专家意见，根据专家意见对课题设计作进一步修改，实施课题研究。具体要求见《南京中医药大学研究生学位</w:t>
      </w:r>
      <w:r>
        <w:rPr>
          <w:rFonts w:asciiTheme="minorEastAsia" w:eastAsiaTheme="minorEastAsia" w:hAnsiTheme="minorEastAsia" w:cstheme="minorEastAsia" w:hint="default"/>
          <w:color w:val="auto"/>
        </w:rPr>
        <w:t>论文</w:t>
      </w:r>
      <w:r>
        <w:rPr>
          <w:rFonts w:asciiTheme="minorEastAsia" w:eastAsiaTheme="minorEastAsia" w:hAnsiTheme="minorEastAsia" w:cstheme="minorEastAsia"/>
          <w:color w:val="auto"/>
        </w:rPr>
        <w:t>开题</w:t>
      </w:r>
      <w:r>
        <w:rPr>
          <w:rFonts w:asciiTheme="minorEastAsia" w:eastAsiaTheme="minorEastAsia" w:hAnsiTheme="minorEastAsia" w:cstheme="minorEastAsia"/>
          <w:color w:val="auto"/>
        </w:rPr>
        <w:t>管理规定（修订）》。</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2</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论文实验记录</w:t>
      </w:r>
      <w:r>
        <w:rPr>
          <w:rFonts w:asciiTheme="minorEastAsia" w:eastAsiaTheme="minorEastAsia" w:hAnsiTheme="minorEastAsia" w:cstheme="minorEastAsia"/>
          <w:color w:val="auto"/>
        </w:rPr>
        <w:t xml:space="preserve"> </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硕士研究生应按《南京中医药大学研究生学位论文实验记录本》认真填写课题研究的实验记录。学位论文研究内容属于学校科技项目管理的课题，可直接填写学校科研处提供的实验记录本。原始记录妥善保管，以备审核。</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中期考核</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为了确保硕士研究生的培养质量，建立攻读硕士学位资格淘汰制度。硕士研究生在入学的第四学期进行中期考核。中期汇报及考核未通过者，六个月后可申请再次考核，再次考核未能通过者，做延期一年毕业安排。</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中期考核由二级学位点组织，着重对硕士生政治思想状况、课程学习情况、教学实践、学位论文开题、实践能力等方面进行全面评价并提出考核意见。个别涉密保项目，由导师指导学生的汇报内容公开程度。</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中期考核评议专家组成：不少于三名（单数）具有导师资格的副高及以上职称专家；研究生的指导教师不作为专家组成员。</w:t>
      </w:r>
    </w:p>
    <w:p w:rsidR="00621C69" w:rsidRDefault="00FB5926">
      <w:pPr>
        <w:pStyle w:val="Default"/>
        <w:widowControl/>
        <w:snapToGrid w:val="0"/>
        <w:spacing w:line="440" w:lineRule="exact"/>
        <w:ind w:firstLineChars="200" w:firstLine="480"/>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中期考核内容：书面和口试。书面内容需在中期考核前</w:t>
      </w:r>
      <w:r>
        <w:rPr>
          <w:rFonts w:asciiTheme="minorEastAsia" w:eastAsiaTheme="minorEastAsia" w:hAnsiTheme="minorEastAsia" w:cstheme="minorEastAsia"/>
          <w:color w:val="auto"/>
        </w:rPr>
        <w:t>10</w:t>
      </w:r>
      <w:r>
        <w:rPr>
          <w:rFonts w:asciiTheme="minorEastAsia" w:eastAsiaTheme="minorEastAsia" w:hAnsiTheme="minorEastAsia" w:cstheme="minorEastAsia"/>
          <w:color w:val="auto"/>
        </w:rPr>
        <w:t>日提交。书面内容应包括研究方案、研究进展、进一步研究计划及预期目标等；口试内容为现场答辩。</w:t>
      </w:r>
    </w:p>
    <w:p w:rsidR="00621C69" w:rsidRDefault="00FB5926">
      <w:pPr>
        <w:pStyle w:val="Default"/>
        <w:widowControl/>
        <w:snapToGrid w:val="0"/>
        <w:spacing w:line="440" w:lineRule="exact"/>
        <w:ind w:firstLineChars="200" w:firstLine="480"/>
        <w:rPr>
          <w:rFonts w:ascii="Times New Roman" w:hAnsi="Times New Roman" w:hint="default"/>
        </w:rPr>
      </w:pPr>
      <w:r>
        <w:rPr>
          <w:rFonts w:cs="宋体"/>
        </w:rPr>
        <w:t>其他要求见《南京中医药大学研究生中期考核办法（修订）》。</w:t>
      </w:r>
    </w:p>
    <w:p w:rsidR="00621C69" w:rsidRDefault="00FB5926">
      <w:pPr>
        <w:pStyle w:val="Default"/>
        <w:widowControl/>
        <w:snapToGrid w:val="0"/>
        <w:spacing w:line="440" w:lineRule="exact"/>
        <w:ind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学位论文的撰</w:t>
      </w:r>
      <w:r>
        <w:rPr>
          <w:rFonts w:asciiTheme="minorEastAsia" w:eastAsiaTheme="minorEastAsia" w:hAnsiTheme="minorEastAsia" w:cstheme="minorEastAsia"/>
          <w:color w:val="auto"/>
        </w:rPr>
        <w:t>写</w:t>
      </w:r>
    </w:p>
    <w:p w:rsidR="00621C69" w:rsidRDefault="00FB5926">
      <w:pPr>
        <w:pStyle w:val="Default"/>
        <w:widowControl/>
        <w:snapToGrid w:val="0"/>
        <w:spacing w:line="440" w:lineRule="exact"/>
        <w:ind w:firstLine="465"/>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学位论文要求文字精练，论点明确，论据充分，数据可靠，有独立的创见性，具有理论和实用价值。课题研究和撰写论文时间应不少于两年。学位论文撰写和毕业具体要求见《南京中医药大学学位论文基本要求及格式规范》。</w:t>
      </w:r>
    </w:p>
    <w:p w:rsidR="00621C69" w:rsidRDefault="00FB5926">
      <w:pPr>
        <w:pStyle w:val="Default"/>
        <w:widowControl/>
        <w:snapToGrid w:val="0"/>
        <w:spacing w:line="440" w:lineRule="exact"/>
        <w:ind w:firstLine="465"/>
        <w:jc w:val="both"/>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default"/>
          <w:color w:val="auto"/>
        </w:rPr>
        <w:t>.</w:t>
      </w:r>
      <w:r>
        <w:rPr>
          <w:rFonts w:asciiTheme="minorEastAsia" w:eastAsiaTheme="minorEastAsia" w:hAnsiTheme="minorEastAsia" w:cstheme="minorEastAsia"/>
          <w:color w:val="auto"/>
        </w:rPr>
        <w:t>学位论文预审核和答辩</w:t>
      </w:r>
    </w:p>
    <w:p w:rsidR="00621C69" w:rsidRDefault="00FB5926">
      <w:pPr>
        <w:widowControl/>
        <w:spacing w:line="480" w:lineRule="exact"/>
        <w:ind w:firstLineChars="200" w:firstLine="480"/>
        <w:rPr>
          <w:rFonts w:ascii="宋体" w:hAnsi="宋体"/>
          <w:kern w:val="0"/>
          <w:sz w:val="24"/>
          <w:lang w:val="zh-CN"/>
        </w:rPr>
      </w:pPr>
      <w:r>
        <w:rPr>
          <w:rFonts w:ascii="宋体" w:hAnsi="宋体" w:hint="eastAsia"/>
          <w:kern w:val="0"/>
          <w:sz w:val="24"/>
          <w:lang w:val="zh-CN"/>
        </w:rPr>
        <w:t>学位论文撰写完成后，经导师审核同意，提交学位点预审核，必要时提交学院学术委员会预审核，提交日期为论文外送盲审前</w:t>
      </w:r>
      <w:r>
        <w:rPr>
          <w:rFonts w:ascii="宋体" w:hAnsi="宋体" w:hint="eastAsia"/>
          <w:kern w:val="0"/>
          <w:sz w:val="24"/>
          <w:lang w:val="zh-CN"/>
        </w:rPr>
        <w:t>1-2</w:t>
      </w:r>
      <w:r>
        <w:rPr>
          <w:rFonts w:ascii="宋体" w:hAnsi="宋体" w:hint="eastAsia"/>
          <w:kern w:val="0"/>
          <w:sz w:val="24"/>
          <w:lang w:val="zh-CN"/>
        </w:rPr>
        <w:t>周。预审核时论文内容不完整、具有较大缺失者、存在工作量不足、原始记录真实性等问题者，不予送审并做延期毕业安排。预审核通过，经学术不端检测合格，原始资料审核通过后，方可提交外送盲审。盲审要求见《南京中医药大学研究生学位论文盲审工作实施办法》。</w:t>
      </w:r>
    </w:p>
    <w:p w:rsidR="00621C69" w:rsidRDefault="00FB5926">
      <w:pPr>
        <w:spacing w:line="440" w:lineRule="exact"/>
        <w:ind w:firstLineChars="200" w:firstLine="480"/>
        <w:rPr>
          <w:rFonts w:ascii="宋体" w:hAnsi="宋体"/>
          <w:kern w:val="0"/>
          <w:sz w:val="24"/>
          <w:lang w:val="zh-CN"/>
        </w:rPr>
      </w:pPr>
      <w:r>
        <w:rPr>
          <w:rFonts w:ascii="宋体" w:hAnsi="宋体" w:hint="eastAsia"/>
          <w:kern w:val="0"/>
          <w:sz w:val="24"/>
          <w:lang w:val="zh-CN"/>
        </w:rPr>
        <w:lastRenderedPageBreak/>
        <w:t>学位论文完成后，经导师和指导小组审核同意，方可由导师推荐申请实施学位论文答辩。论文答辩在研究生院统一部署下进行。具体要求参见《南京中医药大学硕士博士学位授</w:t>
      </w:r>
      <w:r>
        <w:rPr>
          <w:rFonts w:ascii="宋体" w:hAnsi="宋体" w:hint="eastAsia"/>
          <w:kern w:val="0"/>
          <w:sz w:val="24"/>
          <w:lang w:val="zh-CN"/>
        </w:rPr>
        <w:t>予工作细则》相关规定。</w:t>
      </w:r>
    </w:p>
    <w:p w:rsidR="00621C69" w:rsidRDefault="00FB5926">
      <w:pPr>
        <w:pStyle w:val="Default"/>
        <w:widowControl/>
        <w:snapToGrid w:val="0"/>
        <w:spacing w:line="440" w:lineRule="exact"/>
        <w:ind w:firstLineChars="200" w:firstLine="482"/>
        <w:jc w:val="both"/>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十、毕业与学位授予</w:t>
      </w:r>
    </w:p>
    <w:p w:rsidR="00621C69" w:rsidRDefault="00FB5926">
      <w:pPr>
        <w:adjustRightInd w:val="0"/>
        <w:snapToGrid w:val="0"/>
        <w:spacing w:line="44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sz w:val="24"/>
        </w:rPr>
        <w:t>.</w:t>
      </w:r>
      <w:r>
        <w:rPr>
          <w:rFonts w:asciiTheme="minorEastAsia" w:hAnsiTheme="minorEastAsia" w:cstheme="minorEastAsia" w:hint="eastAsia"/>
          <w:sz w:val="24"/>
        </w:rPr>
        <w:t>在规定的最长学习时间内，达到本培养方案各环节要求，通过学位论文答辩，即获得毕业资格，</w:t>
      </w:r>
      <w:r>
        <w:rPr>
          <w:rFonts w:ascii="宋体" w:hAnsi="宋体" w:cs="宋体" w:hint="eastAsia"/>
          <w:sz w:val="24"/>
        </w:rPr>
        <w:t>经所在培养单位和研究生院审核，</w:t>
      </w:r>
      <w:r>
        <w:rPr>
          <w:rFonts w:asciiTheme="minorEastAsia" w:hAnsiTheme="minorEastAsia" w:cstheme="minorEastAsia" w:hint="eastAsia"/>
          <w:sz w:val="24"/>
        </w:rPr>
        <w:t>准予毕业。</w:t>
      </w:r>
    </w:p>
    <w:p w:rsidR="00621C69" w:rsidRDefault="00FB5926">
      <w:pPr>
        <w:adjustRightInd w:val="0"/>
        <w:snapToGrid w:val="0"/>
        <w:spacing w:line="44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sz w:val="24"/>
        </w:rPr>
        <w:t>.</w:t>
      </w:r>
      <w:r>
        <w:rPr>
          <w:rFonts w:asciiTheme="minorEastAsia" w:hAnsiTheme="minorEastAsia" w:cstheme="minorEastAsia" w:hint="eastAsia"/>
          <w:sz w:val="24"/>
        </w:rPr>
        <w:t>获得毕业资格，同时符合《南京中医药大学博士、硕士学位授予工作细则》中“学位授予条件”的相关规定，经学位评定分委员会和学位评定委员会审核，授予相应层次类型的学位。</w:t>
      </w:r>
    </w:p>
    <w:p w:rsidR="00621C69" w:rsidRDefault="00FB5926">
      <w:pPr>
        <w:pStyle w:val="Default"/>
        <w:widowControl/>
        <w:snapToGrid w:val="0"/>
        <w:spacing w:line="440" w:lineRule="exact"/>
        <w:ind w:firstLine="465"/>
        <w:rPr>
          <w:rFonts w:asciiTheme="minorEastAsia" w:eastAsiaTheme="minorEastAsia" w:hAnsiTheme="minorEastAsia" w:cstheme="minorEastAsia" w:hint="default"/>
          <w:b/>
          <w:color w:val="auto"/>
        </w:rPr>
      </w:pPr>
      <w:r>
        <w:rPr>
          <w:rFonts w:asciiTheme="minorEastAsia" w:eastAsiaTheme="minorEastAsia" w:hAnsiTheme="minorEastAsia" w:cstheme="minorEastAsia"/>
          <w:b/>
          <w:color w:val="auto"/>
        </w:rPr>
        <w:t>十一、制定研究生培养计划的相关要求</w:t>
      </w:r>
      <w:r>
        <w:rPr>
          <w:rFonts w:asciiTheme="minorEastAsia" w:eastAsiaTheme="minorEastAsia" w:hAnsiTheme="minorEastAsia" w:cstheme="minorEastAsia"/>
          <w:b/>
          <w:color w:val="auto"/>
        </w:rPr>
        <w:t xml:space="preserve"> </w:t>
      </w:r>
    </w:p>
    <w:p w:rsidR="00621C69" w:rsidRDefault="00FB5926">
      <w:pPr>
        <w:pStyle w:val="Default"/>
        <w:widowControl/>
        <w:snapToGrid w:val="0"/>
        <w:spacing w:line="440" w:lineRule="exact"/>
        <w:ind w:firstLineChars="200" w:firstLine="480"/>
        <w:rPr>
          <w:rFonts w:asciiTheme="minorEastAsia" w:eastAsiaTheme="minorEastAsia" w:hAnsiTheme="minorEastAsia" w:cstheme="minorEastAsia" w:hint="default"/>
          <w:color w:val="auto"/>
        </w:rPr>
      </w:pPr>
      <w:r>
        <w:rPr>
          <w:rFonts w:asciiTheme="minorEastAsia" w:eastAsiaTheme="minorEastAsia" w:hAnsiTheme="minorEastAsia" w:cstheme="minorEastAsia"/>
          <w:color w:val="auto"/>
        </w:rPr>
        <w:t>导师和指导小组应根据国家学位条例、学科专业培养方案并结合硕士生个人情况，认真制定硕士研究生的培养计划，详细填写培养计划表。导师必须在硕</w:t>
      </w:r>
      <w:r>
        <w:rPr>
          <w:rFonts w:asciiTheme="minorEastAsia" w:eastAsiaTheme="minorEastAsia" w:hAnsiTheme="minorEastAsia" w:cstheme="minorEastAsia"/>
          <w:color w:val="auto"/>
        </w:rPr>
        <w:t>士研究生入学后两个月内制定出培养计划，经学院主管领导审核同意后执行，并报研究生院培养办公室备案。培养计划表一式三份，一份送学院留存，导师和硕士研究生各保存一份。在执行过程中如因客观条件变化，可以修订培养计划，但需经学院主管领导同意，并报研究生院培养办公室备案。在硕士研究生学位论文答辩前，应审查培养计划执行情况，未执行培养计划者，不得进行学位论文答辩。</w:t>
      </w:r>
    </w:p>
    <w:p w:rsidR="00621C69" w:rsidRDefault="00621C69">
      <w:pPr>
        <w:widowControl/>
        <w:jc w:val="left"/>
        <w:rPr>
          <w:rFonts w:asciiTheme="minorEastAsia" w:hAnsiTheme="minorEastAsia" w:cstheme="minorEastAsia"/>
          <w:b/>
          <w:sz w:val="24"/>
        </w:rPr>
      </w:pPr>
    </w:p>
    <w:p w:rsidR="00621C69" w:rsidRDefault="00FB5926">
      <w:pPr>
        <w:pStyle w:val="Default"/>
        <w:widowControl/>
        <w:spacing w:after="100" w:afterAutospacing="1" w:line="440" w:lineRule="exact"/>
        <w:jc w:val="center"/>
        <w:rPr>
          <w:rFonts w:asciiTheme="minorEastAsia" w:eastAsiaTheme="minorEastAsia" w:hAnsiTheme="minorEastAsia" w:cstheme="minorEastAsia" w:hint="default"/>
          <w:b/>
          <w:color w:val="auto"/>
          <w:kern w:val="2"/>
        </w:rPr>
      </w:pPr>
      <w:r>
        <w:rPr>
          <w:rFonts w:asciiTheme="minorEastAsia" w:eastAsiaTheme="minorEastAsia" w:hAnsiTheme="minorEastAsia" w:cstheme="minorEastAsia"/>
          <w:b/>
          <w:color w:val="auto"/>
          <w:kern w:val="2"/>
        </w:rPr>
        <w:t>硕士研究生培养流程</w:t>
      </w:r>
    </w:p>
    <w:tbl>
      <w:tblPr>
        <w:tblStyle w:val="a9"/>
        <w:tblW w:w="8296" w:type="dxa"/>
        <w:tblLayout w:type="fixed"/>
        <w:tblLook w:val="04A0" w:firstRow="1" w:lastRow="0" w:firstColumn="1" w:lastColumn="0" w:noHBand="0" w:noVBand="1"/>
      </w:tblPr>
      <w:tblGrid>
        <w:gridCol w:w="1659"/>
        <w:gridCol w:w="4715"/>
        <w:gridCol w:w="567"/>
        <w:gridCol w:w="709"/>
        <w:gridCol w:w="646"/>
      </w:tblGrid>
      <w:tr w:rsidR="00621C69">
        <w:tc>
          <w:tcPr>
            <w:tcW w:w="1659" w:type="dxa"/>
            <w:tcBorders>
              <w:top w:val="single" w:sz="4" w:space="0" w:color="auto"/>
              <w:left w:val="single" w:sz="4" w:space="0" w:color="auto"/>
              <w:bottom w:val="single" w:sz="4" w:space="0" w:color="auto"/>
              <w:right w:val="single" w:sz="4" w:space="0" w:color="auto"/>
            </w:tcBorders>
            <w:shd w:val="clear" w:color="auto" w:fill="auto"/>
          </w:tcPr>
          <w:p w:rsidR="00621C69" w:rsidRDefault="00FB5926">
            <w:pPr>
              <w:spacing w:line="440" w:lineRule="exact"/>
              <w:jc w:val="center"/>
              <w:rPr>
                <w:rFonts w:asciiTheme="minorEastAsia" w:hAnsiTheme="minorEastAsia" w:cstheme="minorEastAsia"/>
                <w:b/>
                <w:kern w:val="0"/>
                <w:szCs w:val="21"/>
              </w:rPr>
            </w:pPr>
            <w:r>
              <w:rPr>
                <w:rFonts w:asciiTheme="minorEastAsia" w:hAnsiTheme="minorEastAsia" w:cstheme="minorEastAsia" w:hint="eastAsia"/>
                <w:b/>
                <w:kern w:val="0"/>
                <w:szCs w:val="21"/>
                <w:lang w:bidi="ar"/>
              </w:rPr>
              <w:t>学期</w:t>
            </w:r>
          </w:p>
        </w:tc>
        <w:tc>
          <w:tcPr>
            <w:tcW w:w="6637" w:type="dxa"/>
            <w:gridSpan w:val="4"/>
            <w:tcBorders>
              <w:top w:val="single" w:sz="4" w:space="0" w:color="auto"/>
              <w:left w:val="nil"/>
              <w:bottom w:val="single" w:sz="4" w:space="0" w:color="auto"/>
              <w:right w:val="single" w:sz="4" w:space="0" w:color="auto"/>
            </w:tcBorders>
            <w:shd w:val="clear" w:color="auto" w:fill="auto"/>
          </w:tcPr>
          <w:p w:rsidR="00621C69" w:rsidRDefault="00FB5926">
            <w:pPr>
              <w:spacing w:line="440" w:lineRule="exact"/>
              <w:jc w:val="center"/>
              <w:rPr>
                <w:rFonts w:asciiTheme="minorEastAsia" w:hAnsiTheme="minorEastAsia" w:cstheme="minorEastAsia"/>
                <w:b/>
                <w:kern w:val="0"/>
                <w:szCs w:val="21"/>
              </w:rPr>
            </w:pPr>
            <w:r>
              <w:rPr>
                <w:rFonts w:asciiTheme="minorEastAsia" w:hAnsiTheme="minorEastAsia" w:cstheme="minorEastAsia" w:hint="eastAsia"/>
                <w:b/>
                <w:kern w:val="0"/>
                <w:szCs w:val="21"/>
                <w:lang w:bidi="ar"/>
              </w:rPr>
              <w:t>内容</w:t>
            </w:r>
          </w:p>
        </w:tc>
      </w:tr>
      <w:tr w:rsidR="00621C69">
        <w:trPr>
          <w:trHeight w:val="382"/>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200" w:before="624"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第一学期</w:t>
            </w:r>
          </w:p>
        </w:tc>
        <w:tc>
          <w:tcPr>
            <w:tcW w:w="5282" w:type="dxa"/>
            <w:gridSpan w:val="2"/>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制定培养计划</w:t>
            </w:r>
          </w:p>
        </w:tc>
        <w:tc>
          <w:tcPr>
            <w:tcW w:w="709" w:type="dxa"/>
            <w:vMerge w:val="restart"/>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学</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术</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交</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流</w:t>
            </w:r>
          </w:p>
        </w:tc>
        <w:tc>
          <w:tcPr>
            <w:tcW w:w="646" w:type="dxa"/>
            <w:vMerge w:val="restart"/>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621C69">
            <w:pPr>
              <w:spacing w:line="440" w:lineRule="exact"/>
              <w:jc w:val="center"/>
              <w:rPr>
                <w:rFonts w:asciiTheme="minorEastAsia" w:hAnsiTheme="minorEastAsia" w:cstheme="minorEastAsia"/>
                <w:kern w:val="0"/>
                <w:szCs w:val="21"/>
              </w:rPr>
            </w:pP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学</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术</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论</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文</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发</w:t>
            </w:r>
          </w:p>
          <w:p w:rsidR="00621C69" w:rsidRDefault="00FB5926">
            <w:pPr>
              <w:spacing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lastRenderedPageBreak/>
              <w:t>表</w:t>
            </w:r>
          </w:p>
        </w:tc>
      </w:tr>
      <w:tr w:rsidR="00621C69">
        <w:trPr>
          <w:trHeight w:val="415"/>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5282" w:type="dxa"/>
            <w:gridSpan w:val="2"/>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集中课程学习</w:t>
            </w: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06"/>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5282" w:type="dxa"/>
            <w:gridSpan w:val="2"/>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专业课学习</w:t>
            </w: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27"/>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5282" w:type="dxa"/>
            <w:gridSpan w:val="2"/>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选题及文献综述</w:t>
            </w: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05"/>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150" w:before="468"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第二学期</w:t>
            </w: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选题及文献综述</w:t>
            </w:r>
          </w:p>
        </w:tc>
        <w:tc>
          <w:tcPr>
            <w:tcW w:w="567" w:type="dxa"/>
            <w:vMerge w:val="restart"/>
            <w:tcBorders>
              <w:top w:val="nil"/>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kern w:val="0"/>
                <w:szCs w:val="21"/>
              </w:rPr>
            </w:pP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t>实</w:t>
            </w: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t>践</w:t>
            </w: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t>能</w:t>
            </w: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t>力</w:t>
            </w: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t>训</w:t>
            </w:r>
          </w:p>
          <w:p w:rsidR="00621C69" w:rsidRDefault="00FB5926">
            <w:pPr>
              <w:spacing w:line="440" w:lineRule="exact"/>
              <w:rPr>
                <w:rFonts w:asciiTheme="minorEastAsia" w:hAnsiTheme="minorEastAsia" w:cstheme="minorEastAsia"/>
                <w:kern w:val="0"/>
                <w:szCs w:val="21"/>
              </w:rPr>
            </w:pPr>
            <w:r>
              <w:rPr>
                <w:rFonts w:asciiTheme="minorEastAsia" w:hAnsiTheme="minorEastAsia" w:cstheme="minorEastAsia" w:hint="eastAsia"/>
                <w:kern w:val="0"/>
                <w:szCs w:val="21"/>
                <w:lang w:bidi="ar"/>
              </w:rPr>
              <w:lastRenderedPageBreak/>
              <w:t>练</w:t>
            </w: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10"/>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专业课学习</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16"/>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学位论文工作</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spacing w:line="440" w:lineRule="exact"/>
              <w:rPr>
                <w:rFonts w:asciiTheme="minorEastAsia" w:hAnsiTheme="minorEastAsia" w:cstheme="minorEastAsia"/>
                <w:sz w:val="20"/>
                <w:szCs w:val="20"/>
              </w:rPr>
            </w:pPr>
          </w:p>
        </w:tc>
      </w:tr>
      <w:tr w:rsidR="00621C69">
        <w:trPr>
          <w:trHeight w:val="423"/>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100" w:before="312"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第三学期</w:t>
            </w: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开题</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15"/>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学位论文工作</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20"/>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100" w:before="312"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第四学期</w:t>
            </w: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学位论文工作</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12"/>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中期考核</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18"/>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100" w:before="312"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lastRenderedPageBreak/>
              <w:t>第五学期</w:t>
            </w: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学位论文工作</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11"/>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4715" w:type="dxa"/>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学位论文撰写</w:t>
            </w:r>
          </w:p>
        </w:tc>
        <w:tc>
          <w:tcPr>
            <w:tcW w:w="567" w:type="dxa"/>
            <w:vMerge/>
            <w:tcBorders>
              <w:top w:val="nil"/>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16"/>
        </w:trPr>
        <w:tc>
          <w:tcPr>
            <w:tcW w:w="1659" w:type="dxa"/>
            <w:vMerge w:val="restart"/>
            <w:tcBorders>
              <w:top w:val="nil"/>
              <w:left w:val="single" w:sz="4" w:space="0" w:color="auto"/>
              <w:bottom w:val="single" w:sz="4" w:space="0" w:color="auto"/>
              <w:right w:val="single" w:sz="4" w:space="0" w:color="auto"/>
            </w:tcBorders>
            <w:shd w:val="clear" w:color="auto" w:fill="auto"/>
          </w:tcPr>
          <w:p w:rsidR="00621C69" w:rsidRDefault="00FB5926">
            <w:pPr>
              <w:spacing w:beforeLines="100" w:before="312" w:line="440" w:lineRule="exact"/>
              <w:jc w:val="center"/>
              <w:rPr>
                <w:rFonts w:asciiTheme="minorEastAsia" w:hAnsiTheme="minorEastAsia" w:cstheme="minorEastAsia"/>
                <w:kern w:val="0"/>
                <w:szCs w:val="21"/>
              </w:rPr>
            </w:pPr>
            <w:r>
              <w:rPr>
                <w:rFonts w:asciiTheme="minorEastAsia" w:hAnsiTheme="minorEastAsia" w:cstheme="minorEastAsia" w:hint="eastAsia"/>
                <w:kern w:val="0"/>
                <w:szCs w:val="21"/>
                <w:lang w:bidi="ar"/>
              </w:rPr>
              <w:t>第六学期</w:t>
            </w:r>
          </w:p>
        </w:tc>
        <w:tc>
          <w:tcPr>
            <w:tcW w:w="5282" w:type="dxa"/>
            <w:gridSpan w:val="2"/>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论文盲审</w:t>
            </w:r>
          </w:p>
        </w:tc>
        <w:tc>
          <w:tcPr>
            <w:tcW w:w="709"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08"/>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5991" w:type="dxa"/>
            <w:gridSpan w:val="3"/>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提交答辩申请，进行论文答辩</w:t>
            </w:r>
          </w:p>
        </w:tc>
        <w:tc>
          <w:tcPr>
            <w:tcW w:w="646" w:type="dxa"/>
            <w:vMerge/>
            <w:tcBorders>
              <w:top w:val="single" w:sz="4" w:space="0" w:color="auto"/>
              <w:left w:val="nil"/>
              <w:bottom w:val="single" w:sz="4" w:space="0" w:color="auto"/>
              <w:right w:val="single" w:sz="4" w:space="0" w:color="auto"/>
            </w:tcBorders>
            <w:shd w:val="clear" w:color="auto" w:fill="auto"/>
            <w:vAlign w:val="center"/>
          </w:tcPr>
          <w:p w:rsidR="00621C69" w:rsidRDefault="00621C69">
            <w:pPr>
              <w:adjustRightInd w:val="0"/>
              <w:snapToGrid w:val="0"/>
              <w:rPr>
                <w:rFonts w:asciiTheme="minorEastAsia" w:hAnsiTheme="minorEastAsia" w:cstheme="minorEastAsia"/>
                <w:sz w:val="20"/>
                <w:szCs w:val="20"/>
              </w:rPr>
            </w:pPr>
          </w:p>
        </w:tc>
      </w:tr>
      <w:tr w:rsidR="00621C69">
        <w:trPr>
          <w:trHeight w:val="428"/>
        </w:trPr>
        <w:tc>
          <w:tcPr>
            <w:tcW w:w="1659" w:type="dxa"/>
            <w:vMerge/>
            <w:tcBorders>
              <w:top w:val="nil"/>
              <w:left w:val="single" w:sz="4" w:space="0" w:color="auto"/>
              <w:bottom w:val="single" w:sz="4" w:space="0" w:color="auto"/>
              <w:right w:val="single" w:sz="4" w:space="0" w:color="auto"/>
            </w:tcBorders>
            <w:shd w:val="clear" w:color="auto" w:fill="auto"/>
          </w:tcPr>
          <w:p w:rsidR="00621C69" w:rsidRDefault="00621C69">
            <w:pPr>
              <w:spacing w:line="440" w:lineRule="exact"/>
              <w:rPr>
                <w:rFonts w:asciiTheme="minorEastAsia" w:hAnsiTheme="minorEastAsia" w:cstheme="minorEastAsia"/>
                <w:sz w:val="20"/>
                <w:szCs w:val="20"/>
              </w:rPr>
            </w:pPr>
          </w:p>
        </w:tc>
        <w:tc>
          <w:tcPr>
            <w:tcW w:w="6637" w:type="dxa"/>
            <w:gridSpan w:val="4"/>
            <w:tcBorders>
              <w:top w:val="single" w:sz="4" w:space="0" w:color="auto"/>
              <w:left w:val="nil"/>
              <w:bottom w:val="single" w:sz="4" w:space="0" w:color="auto"/>
              <w:right w:val="single" w:sz="4" w:space="0" w:color="auto"/>
            </w:tcBorders>
            <w:shd w:val="clear" w:color="auto" w:fill="auto"/>
            <w:vAlign w:val="center"/>
          </w:tcPr>
          <w:p w:rsidR="00621C69" w:rsidRDefault="00FB5926">
            <w:pPr>
              <w:adjustRightInd w:val="0"/>
              <w:snapToGrid w:val="0"/>
              <w:rPr>
                <w:rFonts w:asciiTheme="minorEastAsia" w:hAnsiTheme="minorEastAsia" w:cstheme="minorEastAsia"/>
                <w:kern w:val="0"/>
                <w:szCs w:val="21"/>
              </w:rPr>
            </w:pPr>
            <w:r>
              <w:rPr>
                <w:rFonts w:asciiTheme="minorEastAsia" w:hAnsiTheme="minorEastAsia" w:cstheme="minorEastAsia" w:hint="eastAsia"/>
                <w:kern w:val="0"/>
                <w:szCs w:val="21"/>
                <w:lang w:bidi="ar"/>
              </w:rPr>
              <w:t>申请毕业、申请学位</w:t>
            </w:r>
          </w:p>
        </w:tc>
      </w:tr>
    </w:tbl>
    <w:p w:rsidR="00621C69" w:rsidRDefault="00621C69">
      <w:pPr>
        <w:pStyle w:val="Default"/>
        <w:widowControl/>
        <w:spacing w:line="440" w:lineRule="exact"/>
        <w:rPr>
          <w:rFonts w:asciiTheme="minorEastAsia" w:hAnsiTheme="minorEastAsia" w:cstheme="minorEastAsia" w:hint="default"/>
        </w:rPr>
      </w:pPr>
    </w:p>
    <w:sectPr w:rsidR="00621C69">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926" w:rsidRDefault="00FB5926" w:rsidP="00A7604C">
      <w:r>
        <w:separator/>
      </w:r>
    </w:p>
  </w:endnote>
  <w:endnote w:type="continuationSeparator" w:id="0">
    <w:p w:rsidR="00FB5926" w:rsidRDefault="00FB5926" w:rsidP="00A7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926" w:rsidRDefault="00FB5926" w:rsidP="00A7604C">
      <w:r>
        <w:separator/>
      </w:r>
    </w:p>
  </w:footnote>
  <w:footnote w:type="continuationSeparator" w:id="0">
    <w:p w:rsidR="00FB5926" w:rsidRDefault="00FB5926" w:rsidP="00A7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2ODA0NzJhNGYxNTcwNTUyZjRjMTc1MmJjMjVhYzIifQ=="/>
  </w:docVars>
  <w:rsids>
    <w:rsidRoot w:val="2DB7517E"/>
    <w:rsid w:val="00020631"/>
    <w:rsid w:val="000723B6"/>
    <w:rsid w:val="000A4F79"/>
    <w:rsid w:val="000E4CBE"/>
    <w:rsid w:val="000F666F"/>
    <w:rsid w:val="00151481"/>
    <w:rsid w:val="00151CBD"/>
    <w:rsid w:val="00165772"/>
    <w:rsid w:val="00250433"/>
    <w:rsid w:val="0026614A"/>
    <w:rsid w:val="00291A86"/>
    <w:rsid w:val="002B4DC3"/>
    <w:rsid w:val="003156C7"/>
    <w:rsid w:val="00344074"/>
    <w:rsid w:val="0038595E"/>
    <w:rsid w:val="00425E3C"/>
    <w:rsid w:val="004806D9"/>
    <w:rsid w:val="004A520B"/>
    <w:rsid w:val="004A6F82"/>
    <w:rsid w:val="004A73F9"/>
    <w:rsid w:val="004B50B3"/>
    <w:rsid w:val="004D64CA"/>
    <w:rsid w:val="004F2FC4"/>
    <w:rsid w:val="0052071D"/>
    <w:rsid w:val="00525AB7"/>
    <w:rsid w:val="00537CB1"/>
    <w:rsid w:val="0056029D"/>
    <w:rsid w:val="005C59D3"/>
    <w:rsid w:val="005D1A93"/>
    <w:rsid w:val="005E2C69"/>
    <w:rsid w:val="005F6AF4"/>
    <w:rsid w:val="00621C69"/>
    <w:rsid w:val="00640AE9"/>
    <w:rsid w:val="00662336"/>
    <w:rsid w:val="00666311"/>
    <w:rsid w:val="00690EAA"/>
    <w:rsid w:val="00694240"/>
    <w:rsid w:val="006D3B01"/>
    <w:rsid w:val="007031ED"/>
    <w:rsid w:val="0073283B"/>
    <w:rsid w:val="007534F7"/>
    <w:rsid w:val="007726AB"/>
    <w:rsid w:val="00793FF5"/>
    <w:rsid w:val="007C19C1"/>
    <w:rsid w:val="007F16C4"/>
    <w:rsid w:val="00846A59"/>
    <w:rsid w:val="008B0718"/>
    <w:rsid w:val="008C1D23"/>
    <w:rsid w:val="008E41E9"/>
    <w:rsid w:val="00921145"/>
    <w:rsid w:val="00947410"/>
    <w:rsid w:val="00976F01"/>
    <w:rsid w:val="0098565B"/>
    <w:rsid w:val="0099560B"/>
    <w:rsid w:val="009A53A0"/>
    <w:rsid w:val="009D0CE8"/>
    <w:rsid w:val="009E4378"/>
    <w:rsid w:val="00A114AA"/>
    <w:rsid w:val="00A26FC9"/>
    <w:rsid w:val="00A33851"/>
    <w:rsid w:val="00A7604C"/>
    <w:rsid w:val="00AB53A1"/>
    <w:rsid w:val="00AE093D"/>
    <w:rsid w:val="00B01B1C"/>
    <w:rsid w:val="00B07DCA"/>
    <w:rsid w:val="00B1229E"/>
    <w:rsid w:val="00B21809"/>
    <w:rsid w:val="00B245B3"/>
    <w:rsid w:val="00BE04D5"/>
    <w:rsid w:val="00C15684"/>
    <w:rsid w:val="00C278BD"/>
    <w:rsid w:val="00C3109A"/>
    <w:rsid w:val="00C91A9B"/>
    <w:rsid w:val="00CA75AF"/>
    <w:rsid w:val="00CF7587"/>
    <w:rsid w:val="00D7245C"/>
    <w:rsid w:val="00D87E8B"/>
    <w:rsid w:val="00DA3B12"/>
    <w:rsid w:val="00DB1322"/>
    <w:rsid w:val="00E42C29"/>
    <w:rsid w:val="00E541D3"/>
    <w:rsid w:val="00E84E65"/>
    <w:rsid w:val="00F14313"/>
    <w:rsid w:val="00F1433D"/>
    <w:rsid w:val="00F256CB"/>
    <w:rsid w:val="00F31BB2"/>
    <w:rsid w:val="00F3326F"/>
    <w:rsid w:val="00FB5926"/>
    <w:rsid w:val="00FD1296"/>
    <w:rsid w:val="00FD4DC6"/>
    <w:rsid w:val="0B6D72CA"/>
    <w:rsid w:val="156A06E5"/>
    <w:rsid w:val="20DD190E"/>
    <w:rsid w:val="2980562D"/>
    <w:rsid w:val="2DB7517E"/>
    <w:rsid w:val="2F3A6148"/>
    <w:rsid w:val="354448B5"/>
    <w:rsid w:val="378C03F3"/>
    <w:rsid w:val="40B924E0"/>
    <w:rsid w:val="52CD0B2D"/>
    <w:rsid w:val="5CCD026E"/>
    <w:rsid w:val="5FB00149"/>
    <w:rsid w:val="6D535020"/>
    <w:rsid w:val="749E1F0B"/>
    <w:rsid w:val="782C1B3A"/>
    <w:rsid w:val="7D360930"/>
    <w:rsid w:val="7E5062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939970-B53F-4158-B176-F42F941D0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customStyle="1" w:styleId="Default">
    <w:name w:val="Default"/>
    <w:basedOn w:val="a"/>
    <w:qFormat/>
    <w:pPr>
      <w:autoSpaceDE w:val="0"/>
      <w:autoSpaceDN w:val="0"/>
      <w:adjustRightInd w:val="0"/>
      <w:jc w:val="left"/>
    </w:pPr>
    <w:rPr>
      <w:rFonts w:ascii="宋体" w:eastAsia="宋体" w:hAnsi="Calibri" w:cs="Times New Roman" w:hint="eastAsia"/>
      <w:color w:val="000000"/>
      <w:kern w:val="0"/>
      <w:sz w:val="24"/>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219</TotalTime>
  <Pages>7</Pages>
  <Words>684</Words>
  <Characters>3903</Characters>
  <Application>Microsoft Office Word</Application>
  <DocSecurity>0</DocSecurity>
  <Lines>32</Lines>
  <Paragraphs>9</Paragraphs>
  <ScaleCrop>false</ScaleCrop>
  <Company>Microsoft</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wu</cp:lastModifiedBy>
  <cp:revision>44</cp:revision>
  <cp:lastPrinted>2022-08-31T06:58:00Z</cp:lastPrinted>
  <dcterms:created xsi:type="dcterms:W3CDTF">2019-09-05T02:23:00Z</dcterms:created>
  <dcterms:modified xsi:type="dcterms:W3CDTF">2022-09-13T09:57:00Z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FC92674637C4485EB8819096ED88C619</vt:lpwstr>
  </property>
</Properties>
</file>