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E55" w:rsidRDefault="00983630">
      <w:pPr>
        <w:pStyle w:val="Default"/>
        <w:widowControl/>
        <w:snapToGrid w:val="0"/>
        <w:spacing w:line="360" w:lineRule="auto"/>
        <w:jc w:val="center"/>
        <w:rPr>
          <w:rFonts w:asciiTheme="minorEastAsia" w:eastAsiaTheme="minorEastAsia" w:hAnsiTheme="minorEastAsia" w:cstheme="minorEastAsia" w:hint="default"/>
          <w:b/>
          <w:color w:val="auto"/>
          <w:sz w:val="32"/>
          <w:szCs w:val="32"/>
        </w:rPr>
      </w:pPr>
      <w:r>
        <w:rPr>
          <w:rFonts w:asciiTheme="minorEastAsia" w:eastAsiaTheme="minorEastAsia" w:hAnsiTheme="minorEastAsia" w:cstheme="minorEastAsia" w:hint="default"/>
          <w:b/>
          <w:color w:val="auto"/>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heme="minorEastAsia" w:eastAsiaTheme="minorEastAsia" w:hAnsiTheme="minorEastAsia" w:cstheme="minorEastAsia" w:hint="default"/>
          <w:b/>
          <w:color w:val="auto"/>
          <w:sz w:val="32"/>
          <w:szCs w:val="32"/>
        </w:rPr>
        <w:instrText>ADDIN CNKISM.UserStyle</w:instrText>
      </w:r>
      <w:r>
        <w:rPr>
          <w:rFonts w:asciiTheme="minorEastAsia" w:eastAsiaTheme="minorEastAsia" w:hAnsiTheme="minorEastAsia" w:cstheme="minorEastAsia" w:hint="default"/>
          <w:b/>
          <w:color w:val="auto"/>
          <w:sz w:val="32"/>
          <w:szCs w:val="32"/>
        </w:rPr>
      </w:r>
      <w:r>
        <w:rPr>
          <w:rFonts w:asciiTheme="minorEastAsia" w:eastAsiaTheme="minorEastAsia" w:hAnsiTheme="minorEastAsia" w:cstheme="minorEastAsia" w:hint="default"/>
          <w:b/>
          <w:color w:val="auto"/>
          <w:sz w:val="32"/>
          <w:szCs w:val="32"/>
        </w:rPr>
        <w:fldChar w:fldCharType="end"/>
      </w:r>
      <w:r>
        <w:rPr>
          <w:rFonts w:asciiTheme="minorEastAsia" w:eastAsiaTheme="minorEastAsia" w:hAnsiTheme="minorEastAsia" w:cstheme="minorEastAsia"/>
          <w:b/>
          <w:color w:val="auto"/>
          <w:sz w:val="32"/>
          <w:szCs w:val="32"/>
        </w:rPr>
        <w:t>中药学全日制学术型硕士研究生培养方案</w:t>
      </w:r>
    </w:p>
    <w:p w:rsidR="00CB0E55" w:rsidRDefault="00983630">
      <w:pPr>
        <w:pStyle w:val="Default"/>
        <w:widowControl/>
        <w:snapToGrid w:val="0"/>
        <w:spacing w:line="360" w:lineRule="auto"/>
        <w:jc w:val="center"/>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一级学科  中药学  1008</w:t>
      </w:r>
    </w:p>
    <w:p w:rsidR="00CB0E55" w:rsidRDefault="00983630">
      <w:pPr>
        <w:pStyle w:val="Default"/>
        <w:widowControl/>
        <w:snapToGrid w:val="0"/>
        <w:spacing w:afterLines="50" w:after="156" w:line="440" w:lineRule="exact"/>
        <w:ind w:firstLineChars="200" w:firstLine="482"/>
        <w:rPr>
          <w:rFonts w:ascii="Times New Roman" w:hAnsi="Times New Roman" w:hint="default"/>
          <w:sz w:val="21"/>
          <w:szCs w:val="21"/>
        </w:rPr>
      </w:pPr>
      <w:r>
        <w:rPr>
          <w:rFonts w:hAnsi="宋体" w:cs="宋体"/>
          <w:b/>
        </w:rPr>
        <w:t>学科、专业简介</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南京中医药大学中药学学科为国家“双一流”建设学科、国家重点学科、江苏省优势学科，始建于1956年，1982年成为硕士学位授权点，1990年成为博士学位授权点，1998年设立博士后流动站；2013年在中药学一级学科下自主设置了8个二级学科，分别是中药资源学、中药炮制学、中药鉴定学、中药化学、中药分析学、中药药理学、中药药剂学、中药制药工程学，均具有招收博士研究生的研究方向和研究团队。目前拥有博士研究生导师34人，硕士研究生导师86人。</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本学科建有中药资源产业化与方剂创新药物国家地方联合工程研究中心、教育部中药炮制规范化和标准化工程研究中心、江苏省中药资源产业化过程协同创新中心、中药品质与效能国家重点实验室（培育）、江苏省方剂高技术研究重点实验室、江苏省中药药效及安全性评价重点实验室、江苏省中药炮制重点实验室、江苏省中药功效物质重点实验室、江苏省方剂研究重点实验室、江苏省海洋药用生物资源研究开发重点实验室、江苏省中药高效给药系统工程技术研究中心等科研平台，为本学科博士研究生的培养创造了一流的科学研究工作条件和环境。</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一、培养目标</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掌握辩证唯物主任和历史唯物主义，具备科学的世界观和方法论，坚持马克思主义、毛泽东思想、邓小平理论、“三个代表”思想、科学发展观和新时期中国特色社会主义理论指导，热爱祖国，遵纪守法，身心健康，品行端正，学风严谨，具有强烈的事业心和奉献精神，积极为社会主义现代化建设服务。</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具有扎实的中药学科专业理论基础和系统的专门知识，具有较强的独立从事中药资源调查与保护、中药炮制、中药真伪优劣鉴定、质量评价、新药开发、健康产品的设计和研发、临床药学等教学科研工作。</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熟练阅读本专业外文资料，具备较强的听、说、写、译能力。熟悉现代信息技术，具有较强的计算机应用和信息获取和分析的技能。</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掌握现代信息技术，具备获取知识和信息并能够分析、归纳、总结的能力。</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lastRenderedPageBreak/>
        <w:t>5</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身心健康。</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二、研究方向</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1</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中药资源与鉴定</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01中药资源生产与品种选育</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02中药鉴定与品质评价</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03中药资源化学与资源循环利用</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04中药配伍规律与创新药物</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2</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中药化学与分析</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01中药/天然药物药效物质基础及应用研究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02方剂功效物质基础、作用机制及新药研发</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03中药资源化学与资源循环利用</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04药用植物等来源的新型药源分子发现与优化研究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05特殊环境细菌次生代谢产物的化学和生物学研究</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3</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中药炮制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01中药炮制机理及饮片标准化研究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02中药海洋药物研究</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4</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中药药理</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01中医方药对心脑血管疾病的调控研究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02中药对肿瘤的分子机理研究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03中药调节神经内分泌免疫网络的作用及机理研究</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5</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中药药剂</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01中药分离原理与绿色制药技术研究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02中药制剂品质传递过程研究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03中药制剂新剂型新技术研究</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04中药新药创制与转化应用研究</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三、学制和学习年限</w:t>
      </w:r>
    </w:p>
    <w:p w:rsidR="00CB0E55" w:rsidRDefault="00983630">
      <w:pPr>
        <w:pStyle w:val="a5"/>
        <w:adjustRightInd w:val="0"/>
        <w:snapToGrid w:val="0"/>
        <w:spacing w:before="0" w:line="440" w:lineRule="exact"/>
        <w:ind w:left="0" w:right="0" w:firstLineChars="200" w:firstLine="480"/>
        <w:jc w:val="both"/>
        <w:rPr>
          <w:rFonts w:asciiTheme="minorEastAsia" w:eastAsiaTheme="minorEastAsia" w:hAnsiTheme="minorEastAsia" w:cstheme="minorEastAsia"/>
          <w:lang w:eastAsia="zh-CN"/>
        </w:rPr>
      </w:pPr>
      <w:r>
        <w:rPr>
          <w:rFonts w:asciiTheme="minorEastAsia" w:eastAsiaTheme="minorEastAsia" w:hAnsiTheme="minorEastAsia" w:cstheme="minorEastAsia" w:hint="eastAsia"/>
          <w:lang w:eastAsia="zh-CN"/>
        </w:rPr>
        <w:t>全日制研究生的学制为3年。硕士研究生的课程集中学习时间为半年；半年后进入培养单位</w:t>
      </w:r>
      <w:r>
        <w:rPr>
          <w:rFonts w:asciiTheme="minorEastAsia" w:eastAsiaTheme="minorEastAsia" w:hAnsiTheme="minorEastAsia" w:cstheme="minorEastAsia" w:hint="eastAsia"/>
          <w:spacing w:val="-9"/>
          <w:lang w:eastAsia="zh-CN"/>
        </w:rPr>
        <w:t>、</w:t>
      </w:r>
      <w:r>
        <w:rPr>
          <w:rFonts w:asciiTheme="minorEastAsia" w:eastAsiaTheme="minorEastAsia" w:hAnsiTheme="minorEastAsia" w:cstheme="minorEastAsia" w:hint="eastAsia"/>
          <w:lang w:eastAsia="zh-CN"/>
        </w:rPr>
        <w:t>学</w:t>
      </w:r>
      <w:r>
        <w:rPr>
          <w:rFonts w:asciiTheme="minorEastAsia" w:eastAsiaTheme="minorEastAsia" w:hAnsiTheme="minorEastAsia" w:cstheme="minorEastAsia" w:hint="eastAsia"/>
          <w:spacing w:val="-9"/>
          <w:lang w:eastAsia="zh-CN"/>
        </w:rPr>
        <w:t>科</w:t>
      </w:r>
      <w:r>
        <w:rPr>
          <w:rFonts w:asciiTheme="minorEastAsia" w:eastAsiaTheme="minorEastAsia" w:hAnsiTheme="minorEastAsia" w:cstheme="minorEastAsia" w:hint="eastAsia"/>
          <w:lang w:eastAsia="zh-CN"/>
        </w:rPr>
        <w:t>（教研室</w:t>
      </w:r>
      <w:r>
        <w:rPr>
          <w:rFonts w:asciiTheme="minorEastAsia" w:eastAsiaTheme="minorEastAsia" w:hAnsiTheme="minorEastAsia" w:cstheme="minorEastAsia" w:hint="eastAsia"/>
          <w:spacing w:val="-120"/>
          <w:lang w:eastAsia="zh-CN"/>
        </w:rPr>
        <w:t>）</w:t>
      </w:r>
      <w:r>
        <w:rPr>
          <w:rFonts w:asciiTheme="minorEastAsia" w:eastAsiaTheme="minorEastAsia" w:hAnsiTheme="minorEastAsia" w:cstheme="minorEastAsia" w:hint="eastAsia"/>
          <w:spacing w:val="-9"/>
          <w:lang w:eastAsia="zh-CN"/>
        </w:rPr>
        <w:t>、</w:t>
      </w:r>
      <w:r>
        <w:rPr>
          <w:rFonts w:asciiTheme="minorEastAsia" w:eastAsiaTheme="minorEastAsia" w:hAnsiTheme="minorEastAsia" w:cstheme="minorEastAsia" w:hint="eastAsia"/>
          <w:lang w:eastAsia="zh-CN"/>
        </w:rPr>
        <w:t>科室，在导师指导下按培养方案的要求</w:t>
      </w:r>
      <w:r>
        <w:rPr>
          <w:rFonts w:asciiTheme="minorEastAsia" w:eastAsiaTheme="minorEastAsia" w:hAnsiTheme="minorEastAsia" w:cstheme="minorEastAsia" w:hint="eastAsia"/>
          <w:spacing w:val="-9"/>
          <w:lang w:eastAsia="zh-CN"/>
        </w:rPr>
        <w:t>，</w:t>
      </w:r>
      <w:r>
        <w:rPr>
          <w:rFonts w:asciiTheme="minorEastAsia" w:eastAsiaTheme="minorEastAsia" w:hAnsiTheme="minorEastAsia" w:cstheme="minorEastAsia" w:hint="eastAsia"/>
          <w:lang w:eastAsia="zh-CN"/>
        </w:rPr>
        <w:t>进行后续的培养工作。研究生可以分阶段完成学业，除另有规定外，最长学习时间（含休学）为6年。毕业时未达到学位授予条件者，自取得毕业证之日起，2年内可向学校申请学位。</w:t>
      </w:r>
    </w:p>
    <w:p w:rsidR="00CB0E55" w:rsidRDefault="00983630">
      <w:pPr>
        <w:pStyle w:val="a5"/>
        <w:spacing w:before="0" w:line="440" w:lineRule="exact"/>
        <w:ind w:left="0" w:firstLineChars="247" w:firstLine="595"/>
        <w:jc w:val="both"/>
        <w:rPr>
          <w:rFonts w:asciiTheme="minorEastAsia" w:eastAsiaTheme="minorEastAsia" w:hAnsiTheme="minorEastAsia" w:cstheme="minorEastAsia"/>
          <w:b/>
          <w:lang w:eastAsia="zh-CN"/>
        </w:rPr>
      </w:pPr>
      <w:r>
        <w:rPr>
          <w:rFonts w:asciiTheme="minorEastAsia" w:eastAsiaTheme="minorEastAsia" w:hAnsiTheme="minorEastAsia" w:cstheme="minorEastAsia" w:hint="eastAsia"/>
          <w:b/>
          <w:lang w:eastAsia="zh-CN"/>
        </w:rPr>
        <w:lastRenderedPageBreak/>
        <w:t xml:space="preserve">四、培养方式 </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集中学习的课程，由研究生院统一组织教学。</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政治理论课学习与经常性政治教育相结合。研究生应认真学好政治理论课， 积极参加政治学习与形势任务教育，参加公益劳动。政治理论课程由研究生院组织教学；研究生德育教育第一责任人为导师，同时由培养单位、学科、研究室、教研室、实验室共同负责，将业务教育与思想品德教育紧密结合，采用多种教育形式，以提高研究生的思想品德素质。</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习方式采用在导师和指导小组成员的指导下，进行课堂教学、自学、学术讨论等多种形式，使学生进一步拓宽知识范围，掌握学科发展的前沿动态。在科学研究方面，结合导师的研究课题，运用先进的、高水平的科研工作方法和手段，重点培养独立从事本学科领域创造性研究工作的能力。课程结束后应通过考试评定成绩。</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硕士生的培养实行导师负责和集体培养相结合的办法。成立硕士生指导小组，导师任组长，另有3～5名本专业和/或相关学科专业的专家。主要做好以下几方面工作：</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 xml:space="preserve">（1）结合研究方向，指导研究生制定个性化的培养计划，并督促检查其实施； </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（2）对硕士研究生进行政治思想、学风、品德等方面的教育；</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（3）全面指导和检查硕士研究生的课程学习、科学研究和学位论文工作。</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 xml:space="preserve">五、课程学习 </w:t>
      </w:r>
    </w:p>
    <w:p w:rsidR="00CB0E55" w:rsidRDefault="00983630">
      <w:pPr>
        <w:widowControl/>
        <w:adjustRightInd w:val="0"/>
        <w:snapToGrid w:val="0"/>
        <w:spacing w:line="440" w:lineRule="exact"/>
        <w:ind w:firstLineChars="200" w:firstLine="480"/>
        <w:rPr>
          <w:rFonts w:asciiTheme="minorEastAsia" w:hAnsiTheme="minorEastAsia" w:cstheme="minorEastAsia"/>
        </w:rPr>
      </w:pPr>
      <w:r>
        <w:rPr>
          <w:rFonts w:asciiTheme="minorEastAsia" w:hAnsiTheme="minorEastAsia" w:cstheme="minorEastAsia" w:hint="eastAsia"/>
          <w:kern w:val="0"/>
          <w:sz w:val="24"/>
        </w:rPr>
        <w:t>研究生的课程分为公共课、专业基础课、专业课、选修课四大类别。其中公共课、专业基础课、专业课为学位课程,选修课为非学位课程。</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课程学习实行学分制，</w:t>
      </w:r>
      <w:r>
        <w:rPr>
          <w:rFonts w:hAnsi="宋体" w:cs="宋体"/>
        </w:rPr>
        <w:t>按照每</w:t>
      </w:r>
      <w:r>
        <w:rPr>
          <w:rFonts w:ascii="Times New Roman" w:hAnsi="Times New Roman" w:hint="default"/>
        </w:rPr>
        <w:t>18</w:t>
      </w:r>
      <w:r>
        <w:rPr>
          <w:rFonts w:hAnsi="宋体" w:cs="宋体"/>
        </w:rPr>
        <w:t>学时</w:t>
      </w:r>
      <w:r>
        <w:rPr>
          <w:rFonts w:ascii="Times New Roman" w:hAnsi="Times New Roman" w:hint="default"/>
        </w:rPr>
        <w:t>1</w:t>
      </w:r>
      <w:r>
        <w:rPr>
          <w:rFonts w:hAnsi="宋体" w:cs="宋体"/>
        </w:rPr>
        <w:t>学分计算</w:t>
      </w:r>
      <w:r>
        <w:rPr>
          <w:rFonts w:asciiTheme="minorEastAsia" w:eastAsiaTheme="minorEastAsia" w:hAnsiTheme="minorEastAsia" w:cstheme="minorEastAsia"/>
          <w:color w:val="auto"/>
        </w:rPr>
        <w:t>。硕士研究生在中期考核前，理论课程学习总学分不低于</w:t>
      </w:r>
      <w:r>
        <w:rPr>
          <w:rFonts w:asciiTheme="minorEastAsia" w:eastAsiaTheme="minorEastAsia" w:hAnsiTheme="minorEastAsia" w:cstheme="minorEastAsia" w:hint="default"/>
          <w:color w:val="auto"/>
        </w:rPr>
        <w:t>2</w:t>
      </w:r>
      <w:r>
        <w:rPr>
          <w:rFonts w:asciiTheme="minorEastAsia" w:eastAsiaTheme="minorEastAsia" w:hAnsiTheme="minorEastAsia" w:cstheme="minorEastAsia"/>
          <w:color w:val="auto"/>
        </w:rPr>
        <w:t>6学分，其中学位课程不少于22学分。跨专业录取的研究生，必须补修若干门本专业本科的主干课程，由指导教师提出，列入研究生培养计划，考核成绩报研究生院，但不计入规定的总学分。鼓励报考本校研究生的本科生、参加大学生创业竞赛等活动的本科生选修研究生课程，所修学分计入研究生课程成绩。</w:t>
      </w:r>
    </w:p>
    <w:p w:rsidR="00CB0E55" w:rsidRDefault="00983630">
      <w:pPr>
        <w:pStyle w:val="Default"/>
        <w:widowControl/>
        <w:snapToGrid w:val="0"/>
        <w:spacing w:afterLines="50" w:after="156" w:line="440" w:lineRule="exact"/>
        <w:jc w:val="center"/>
        <w:rPr>
          <w:rFonts w:asciiTheme="minorEastAsia" w:eastAsiaTheme="minorEastAsia" w:hAnsiTheme="minorEastAsia" w:cstheme="minorEastAsia" w:hint="default"/>
          <w:b/>
          <w:color w:val="auto"/>
          <w:sz w:val="21"/>
          <w:szCs w:val="21"/>
        </w:rPr>
      </w:pPr>
      <w:r>
        <w:rPr>
          <w:rFonts w:asciiTheme="minorEastAsia" w:eastAsiaTheme="minorEastAsia" w:hAnsiTheme="minorEastAsia" w:cstheme="minorEastAsia"/>
          <w:b/>
          <w:color w:val="auto"/>
          <w:sz w:val="21"/>
          <w:szCs w:val="21"/>
        </w:rPr>
        <w:t>中药学学术型硕士研究生课程设置</w:t>
      </w:r>
    </w:p>
    <w:tbl>
      <w:tblPr>
        <w:tblStyle w:val="af"/>
        <w:tblW w:w="8522" w:type="dxa"/>
        <w:tblLayout w:type="fixed"/>
        <w:tblLook w:val="04A0" w:firstRow="1" w:lastRow="0" w:firstColumn="1" w:lastColumn="0" w:noHBand="0" w:noVBand="1"/>
      </w:tblPr>
      <w:tblGrid>
        <w:gridCol w:w="1257"/>
        <w:gridCol w:w="3094"/>
        <w:gridCol w:w="768"/>
        <w:gridCol w:w="636"/>
        <w:gridCol w:w="804"/>
        <w:gridCol w:w="1963"/>
      </w:tblGrid>
      <w:tr w:rsidR="00CB0E55">
        <w:trPr>
          <w:trHeight w:val="71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课程编号</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学时</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学分</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开课学期</w:t>
            </w:r>
          </w:p>
        </w:tc>
        <w:tc>
          <w:tcPr>
            <w:tcW w:w="1963"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t>备注</w:t>
            </w:r>
          </w:p>
        </w:tc>
      </w:tr>
      <w:tr w:rsidR="00CB0E55">
        <w:trPr>
          <w:trHeight w:val="540"/>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b/>
                <w:szCs w:val="21"/>
              </w:rPr>
            </w:pPr>
            <w:r>
              <w:rPr>
                <w:rFonts w:asciiTheme="minorEastAsia" w:hAnsiTheme="minorEastAsia" w:cstheme="minorEastAsia" w:hint="eastAsia"/>
                <w:b/>
                <w:szCs w:val="21"/>
              </w:rPr>
              <w:lastRenderedPageBreak/>
              <w:t>公共必修课（</w:t>
            </w:r>
            <w:r>
              <w:rPr>
                <w:rFonts w:asciiTheme="minorEastAsia" w:hAnsiTheme="minorEastAsia" w:cstheme="minorEastAsia"/>
                <w:b/>
                <w:szCs w:val="21"/>
              </w:rPr>
              <w:t>10</w:t>
            </w:r>
            <w:r>
              <w:rPr>
                <w:rFonts w:asciiTheme="minorEastAsia" w:hAnsiTheme="minorEastAsia" w:cstheme="minorEastAsia" w:hint="eastAsia"/>
                <w:b/>
                <w:szCs w:val="21"/>
              </w:rPr>
              <w:t>学分及以上）</w:t>
            </w:r>
          </w:p>
        </w:tc>
      </w:tr>
      <w:tr w:rsidR="00CB0E55">
        <w:trPr>
          <w:trHeight w:val="407"/>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S00900</w:t>
            </w:r>
            <w:r>
              <w:rPr>
                <w:rFonts w:asciiTheme="minorEastAsia" w:hAnsiTheme="minorEastAsia" w:cstheme="minorEastAsia"/>
                <w:szCs w:val="21"/>
              </w:rPr>
              <w:t>2</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自然辩证法</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top w:val="single" w:sz="4" w:space="0" w:color="auto"/>
              <w:left w:val="nil"/>
              <w:bottom w:val="single" w:sz="4" w:space="0" w:color="auto"/>
              <w:right w:val="single" w:sz="4" w:space="0" w:color="auto"/>
            </w:tcBorders>
            <w:shd w:val="clear" w:color="auto" w:fill="auto"/>
            <w:vAlign w:val="center"/>
          </w:tcPr>
          <w:p w:rsidR="00CB0E55" w:rsidRDefault="00966FEF">
            <w:pPr>
              <w:jc w:val="center"/>
              <w:rPr>
                <w:rFonts w:asciiTheme="minorEastAsia" w:hAnsiTheme="minorEastAsia" w:cstheme="minorEastAsia"/>
                <w:szCs w:val="21"/>
              </w:rPr>
            </w:pPr>
            <w:r>
              <w:rPr>
                <w:rFonts w:ascii="Times New Roman" w:hAnsi="Times New Roman"/>
                <w:bCs/>
                <w:szCs w:val="21"/>
              </w:rPr>
              <w:t>必修</w:t>
            </w:r>
          </w:p>
        </w:tc>
      </w:tr>
      <w:tr w:rsidR="00CB0E55">
        <w:trPr>
          <w:trHeight w:val="427"/>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S009050</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中国特色社会主义理论与实践</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top w:val="single" w:sz="4" w:space="0" w:color="auto"/>
              <w:left w:val="nil"/>
              <w:bottom w:val="single" w:sz="4" w:space="0" w:color="auto"/>
              <w:right w:val="single" w:sz="4" w:space="0" w:color="auto"/>
            </w:tcBorders>
            <w:shd w:val="clear" w:color="auto" w:fill="auto"/>
            <w:vAlign w:val="center"/>
          </w:tcPr>
          <w:p w:rsidR="00CB0E55" w:rsidRDefault="00966FEF">
            <w:pPr>
              <w:jc w:val="center"/>
              <w:rPr>
                <w:rFonts w:asciiTheme="minorEastAsia" w:hAnsiTheme="minorEastAsia" w:cstheme="minorEastAsia"/>
                <w:szCs w:val="21"/>
              </w:rPr>
            </w:pPr>
            <w:r>
              <w:rPr>
                <w:rFonts w:ascii="Times New Roman" w:hAnsi="Times New Roman"/>
                <w:bCs/>
                <w:szCs w:val="21"/>
              </w:rPr>
              <w:t>必修</w:t>
            </w:r>
          </w:p>
        </w:tc>
      </w:tr>
      <w:tr w:rsidR="00CB0E55">
        <w:trPr>
          <w:trHeight w:val="41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S007002/ S007004</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公共英语</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54</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top w:val="single" w:sz="4" w:space="0" w:color="auto"/>
              <w:left w:val="nil"/>
              <w:bottom w:val="single" w:sz="4" w:space="0" w:color="auto"/>
              <w:right w:val="single" w:sz="4" w:space="0" w:color="auto"/>
            </w:tcBorders>
            <w:shd w:val="clear" w:color="auto" w:fill="auto"/>
            <w:vAlign w:val="center"/>
          </w:tcPr>
          <w:p w:rsidR="00CB0E55" w:rsidRDefault="00966FEF">
            <w:pPr>
              <w:jc w:val="center"/>
              <w:rPr>
                <w:rFonts w:asciiTheme="minorEastAsia" w:hAnsiTheme="minorEastAsia" w:cstheme="minorEastAsia"/>
                <w:szCs w:val="21"/>
              </w:rPr>
            </w:pPr>
            <w:r>
              <w:rPr>
                <w:rFonts w:ascii="Times New Roman" w:hAnsi="Times New Roman"/>
                <w:bCs/>
                <w:szCs w:val="21"/>
              </w:rPr>
              <w:t>必修</w:t>
            </w:r>
          </w:p>
        </w:tc>
      </w:tr>
      <w:tr w:rsidR="00CB0E55">
        <w:trPr>
          <w:trHeight w:val="41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B004023</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药学</w:t>
            </w:r>
            <w:r>
              <w:rPr>
                <w:rFonts w:asciiTheme="minorEastAsia" w:hAnsiTheme="minorEastAsia" w:cstheme="minorEastAsia"/>
                <w:szCs w:val="21"/>
              </w:rPr>
              <w:t>前沿讲座</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54</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vMerge w:val="restart"/>
            <w:tcBorders>
              <w:top w:val="single" w:sz="4" w:space="0" w:color="auto"/>
              <w:left w:val="nil"/>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二选一</w:t>
            </w:r>
          </w:p>
        </w:tc>
      </w:tr>
      <w:tr w:rsidR="00CB0E55">
        <w:trPr>
          <w:trHeight w:val="41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B00201</w:t>
            </w:r>
            <w:r>
              <w:rPr>
                <w:rFonts w:asciiTheme="minorEastAsia" w:hAnsiTheme="minorEastAsia" w:cstheme="minorEastAsia" w:hint="eastAsia"/>
                <w:szCs w:val="21"/>
              </w:rPr>
              <w:t>5</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系统生物学研究思路与策略</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54</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vMerge/>
            <w:tcBorders>
              <w:left w:val="nil"/>
              <w:bottom w:val="single" w:sz="4" w:space="0" w:color="auto"/>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widowControl/>
              <w:spacing w:line="360" w:lineRule="auto"/>
              <w:jc w:val="center"/>
              <w:rPr>
                <w:rFonts w:asciiTheme="minorEastAsia" w:hAnsiTheme="minorEastAsia" w:cstheme="minorEastAsia"/>
                <w:sz w:val="24"/>
              </w:rPr>
            </w:pPr>
            <w:r>
              <w:rPr>
                <w:rFonts w:asciiTheme="minorEastAsia" w:hAnsiTheme="minorEastAsia" w:cstheme="minorEastAsia" w:hint="eastAsia"/>
                <w:b/>
                <w:szCs w:val="21"/>
              </w:rPr>
              <w:t>专业基础课（</w:t>
            </w:r>
            <w:r>
              <w:rPr>
                <w:rFonts w:asciiTheme="minorEastAsia" w:hAnsiTheme="minorEastAsia" w:cstheme="minorEastAsia"/>
                <w:b/>
                <w:szCs w:val="21"/>
              </w:rPr>
              <w:t>8</w:t>
            </w:r>
            <w:r>
              <w:rPr>
                <w:rFonts w:asciiTheme="minorEastAsia" w:hAnsiTheme="minorEastAsia" w:cstheme="minorEastAsia" w:hint="eastAsia"/>
                <w:b/>
                <w:szCs w:val="21"/>
              </w:rPr>
              <w:t>学分及以上）</w:t>
            </w:r>
          </w:p>
        </w:tc>
      </w:tr>
      <w:tr w:rsidR="00CB0E55">
        <w:trPr>
          <w:trHeight w:val="34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S016003</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生物统计学</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top w:val="single" w:sz="4" w:space="0" w:color="auto"/>
              <w:left w:val="nil"/>
              <w:right w:val="single" w:sz="4" w:space="0" w:color="auto"/>
            </w:tcBorders>
            <w:shd w:val="clear" w:color="auto" w:fill="auto"/>
          </w:tcPr>
          <w:p w:rsidR="00CB0E55" w:rsidRDefault="00CB0E55">
            <w:pPr>
              <w:jc w:val="center"/>
              <w:rPr>
                <w:rFonts w:asciiTheme="minorEastAsia" w:hAnsiTheme="minorEastAsia" w:cstheme="minorEastAsia"/>
                <w:szCs w:val="21"/>
              </w:rPr>
            </w:pPr>
          </w:p>
        </w:tc>
      </w:tr>
      <w:tr w:rsidR="00CB0E55">
        <w:trPr>
          <w:trHeight w:val="34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S004099</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现代仪器分析技术</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54</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3</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宋体" w:eastAsia="宋体" w:hAnsi="宋体" w:cs="宋体"/>
                <w:szCs w:val="21"/>
              </w:rPr>
            </w:pPr>
            <w:r>
              <w:rPr>
                <w:rFonts w:ascii="宋体" w:eastAsia="宋体" w:hAnsi="宋体" w:cs="宋体" w:hint="eastAsia"/>
                <w:szCs w:val="21"/>
              </w:rPr>
              <w:t>S004002</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波谱解析</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宋体" w:eastAsia="宋体" w:hAnsi="宋体" w:cs="宋体"/>
                <w:szCs w:val="21"/>
              </w:rPr>
            </w:pPr>
            <w:r>
              <w:rPr>
                <w:rFonts w:ascii="宋体" w:eastAsia="宋体" w:hAnsi="宋体" w:cs="宋体" w:hint="eastAsia"/>
                <w:szCs w:val="21"/>
              </w:rPr>
              <w:t>S004100</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药理研究方法与技术</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18</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宋体" w:eastAsia="宋体" w:hAnsi="宋体" w:cs="宋体"/>
                <w:color w:val="000000" w:themeColor="text1"/>
                <w:szCs w:val="21"/>
              </w:rPr>
            </w:pPr>
            <w:r>
              <w:rPr>
                <w:rFonts w:ascii="宋体" w:eastAsia="宋体" w:hAnsi="宋体" w:cs="宋体" w:hint="eastAsia"/>
                <w:color w:val="000000" w:themeColor="text1"/>
                <w:szCs w:val="21"/>
              </w:rPr>
              <w:t>S016002</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生物技术与方法</w:t>
            </w:r>
          </w:p>
        </w:tc>
        <w:tc>
          <w:tcPr>
            <w:tcW w:w="768"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color w:val="FF0000"/>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S004107</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生物药剂学与药代动力学选论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S004105</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科学伦理与实验安全</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18</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left w:val="nil"/>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imes New Roman" w:hAnsi="Times New Roman"/>
                <w:bCs/>
                <w:szCs w:val="21"/>
              </w:rPr>
              <w:t>必修</w:t>
            </w: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adjustRightInd w:val="0"/>
              <w:snapToGrid w:val="0"/>
              <w:jc w:val="center"/>
              <w:rPr>
                <w:rFonts w:ascii="Times New Roman" w:eastAsia="宋体" w:hAnsi="Times New Roman" w:cs="Times New Roman"/>
                <w:szCs w:val="21"/>
              </w:rPr>
            </w:pPr>
            <w:r>
              <w:rPr>
                <w:rFonts w:asciiTheme="minorEastAsia" w:hAnsiTheme="minorEastAsia" w:cstheme="minorEastAsia" w:hint="eastAsia"/>
                <w:szCs w:val="21"/>
              </w:rPr>
              <w:t>S084003</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论文写作指导（中药类）</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18</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963" w:type="dxa"/>
            <w:tcBorders>
              <w:left w:val="nil"/>
              <w:right w:val="single" w:sz="4" w:space="0" w:color="auto"/>
            </w:tcBorders>
            <w:shd w:val="clear" w:color="auto" w:fill="auto"/>
            <w:vAlign w:val="center"/>
          </w:tcPr>
          <w:p w:rsidR="00CB0E55" w:rsidRDefault="00983630">
            <w:pPr>
              <w:pStyle w:val="Default"/>
              <w:widowControl/>
              <w:snapToGrid w:val="0"/>
              <w:jc w:val="center"/>
              <w:rPr>
                <w:rFonts w:ascii="Times New Roman" w:hAnsi="Times New Roman" w:hint="default"/>
                <w:b/>
                <w:sz w:val="21"/>
                <w:szCs w:val="21"/>
              </w:rPr>
            </w:pPr>
            <w:r>
              <w:rPr>
                <w:rFonts w:ascii="Times New Roman" w:hAnsi="Times New Roman"/>
                <w:bCs/>
                <w:sz w:val="21"/>
                <w:szCs w:val="21"/>
              </w:rPr>
              <w:t>必修</w:t>
            </w:r>
          </w:p>
        </w:tc>
      </w:tr>
      <w:tr w:rsidR="00CB0E55">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widowControl/>
              <w:spacing w:line="360" w:lineRule="auto"/>
              <w:jc w:val="center"/>
              <w:rPr>
                <w:rFonts w:asciiTheme="minorEastAsia" w:hAnsiTheme="minorEastAsia" w:cstheme="minorEastAsia"/>
                <w:sz w:val="24"/>
              </w:rPr>
            </w:pPr>
            <w:r>
              <w:rPr>
                <w:rFonts w:asciiTheme="minorEastAsia" w:hAnsiTheme="minorEastAsia" w:cstheme="minorEastAsia" w:hint="eastAsia"/>
                <w:b/>
                <w:szCs w:val="21"/>
              </w:rPr>
              <w:t>专业课（4学分及以上）</w:t>
            </w: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宋体" w:eastAsia="宋体" w:hAnsi="宋体" w:cs="宋体"/>
                <w:szCs w:val="21"/>
              </w:rPr>
            </w:pPr>
            <w:r>
              <w:rPr>
                <w:rFonts w:ascii="宋体" w:eastAsia="宋体" w:hAnsi="宋体" w:cs="宋体" w:hint="eastAsia"/>
                <w:szCs w:val="21"/>
              </w:rPr>
              <w:t xml:space="preserve">S004040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中药炮制学选论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CC57DB">
            <w:pPr>
              <w:jc w:val="center"/>
              <w:rPr>
                <w:rFonts w:asciiTheme="minorEastAsia" w:hAnsiTheme="minorEastAsia" w:cstheme="minorEastAsia"/>
                <w:szCs w:val="21"/>
              </w:rPr>
            </w:pPr>
            <w:r>
              <w:rPr>
                <w:rFonts w:asciiTheme="minorEastAsia" w:hAnsiTheme="minorEastAsia" w:cstheme="minorEastAsia"/>
                <w:szCs w:val="21"/>
              </w:rPr>
              <w:t>2</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bookmarkStart w:id="0" w:name="_GoBack"/>
            <w:bookmarkEnd w:id="0"/>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宋体" w:eastAsia="宋体" w:hAnsi="宋体" w:cs="宋体"/>
                <w:szCs w:val="21"/>
              </w:rPr>
            </w:pPr>
            <w:r>
              <w:rPr>
                <w:rFonts w:ascii="宋体" w:eastAsia="宋体" w:hAnsi="宋体" w:cs="宋体" w:hint="eastAsia"/>
                <w:szCs w:val="21"/>
              </w:rPr>
              <w:t xml:space="preserve">S004024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imes New Roman" w:eastAsia="宋体" w:hAnsi="Times New Roman" w:cs="Times New Roman"/>
                <w:szCs w:val="21"/>
              </w:rPr>
            </w:pPr>
            <w:r>
              <w:rPr>
                <w:rFonts w:ascii="Times New Roman" w:eastAsia="宋体" w:hAnsi="Times New Roman" w:cs="Times New Roman" w:hint="eastAsia"/>
                <w:szCs w:val="21"/>
              </w:rPr>
              <w:t>中药药剂学选论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 xml:space="preserve">S004016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中药药理学选论</w:t>
            </w:r>
          </w:p>
        </w:tc>
        <w:tc>
          <w:tcPr>
            <w:tcW w:w="768"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 xml:space="preserve">S004096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中药资源与鉴定选论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 xml:space="preserve">S004103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中药与天然药物化学选论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highlight w:val="yellow"/>
              </w:rPr>
            </w:pPr>
          </w:p>
        </w:tc>
      </w:tr>
      <w:tr w:rsidR="00CB0E55">
        <w:trPr>
          <w:trHeight w:val="269"/>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S00</w:t>
            </w:r>
            <w:r>
              <w:rPr>
                <w:rFonts w:asciiTheme="minorEastAsia" w:hAnsiTheme="minorEastAsia" w:cstheme="minorEastAsia" w:hint="eastAsia"/>
                <w:szCs w:val="21"/>
              </w:rPr>
              <w:t xml:space="preserve">4035 </w:t>
            </w:r>
          </w:p>
        </w:tc>
        <w:tc>
          <w:tcPr>
            <w:tcW w:w="309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imes New Roman" w:eastAsia="宋体" w:hAnsi="Times New Roman" w:cs="Times New Roman"/>
                <w:szCs w:val="21"/>
              </w:rPr>
            </w:pPr>
            <w:r>
              <w:rPr>
                <w:rFonts w:asciiTheme="minorEastAsia" w:hAnsiTheme="minorEastAsia" w:cstheme="minorEastAsia" w:hint="eastAsia"/>
                <w:szCs w:val="21"/>
              </w:rPr>
              <w:t>海洋药物学选论</w:t>
            </w:r>
          </w:p>
        </w:tc>
        <w:tc>
          <w:tcPr>
            <w:tcW w:w="768"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36</w:t>
            </w:r>
          </w:p>
        </w:tc>
        <w:tc>
          <w:tcPr>
            <w:tcW w:w="636"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2</w:t>
            </w:r>
          </w:p>
        </w:tc>
        <w:tc>
          <w:tcPr>
            <w:tcW w:w="804" w:type="dxa"/>
            <w:tcBorders>
              <w:top w:val="single" w:sz="4" w:space="0" w:color="auto"/>
              <w:left w:val="nil"/>
              <w:bottom w:val="single" w:sz="4" w:space="0" w:color="auto"/>
              <w:right w:val="single" w:sz="4" w:space="0" w:color="auto"/>
            </w:tcBorders>
            <w:shd w:val="clear" w:color="auto" w:fill="auto"/>
            <w:vAlign w:val="center"/>
          </w:tcPr>
          <w:p w:rsidR="00CB0E55" w:rsidRDefault="00983630">
            <w:pPr>
              <w:jc w:val="center"/>
              <w:rPr>
                <w:rFonts w:asciiTheme="minorEastAsia" w:hAnsiTheme="minorEastAsia" w:cstheme="minorEastAsia"/>
                <w:szCs w:val="21"/>
              </w:rPr>
            </w:pPr>
            <w:r>
              <w:rPr>
                <w:rFonts w:asciiTheme="minorEastAsia" w:hAnsiTheme="minorEastAsia" w:cstheme="minorEastAsia"/>
                <w:szCs w:val="21"/>
              </w:rPr>
              <w:t>1</w:t>
            </w:r>
          </w:p>
        </w:tc>
        <w:tc>
          <w:tcPr>
            <w:tcW w:w="1963" w:type="dxa"/>
            <w:tcBorders>
              <w:left w:val="nil"/>
              <w:right w:val="single" w:sz="4" w:space="0" w:color="auto"/>
            </w:tcBorders>
            <w:shd w:val="clear" w:color="auto" w:fill="auto"/>
            <w:vAlign w:val="center"/>
          </w:tcPr>
          <w:p w:rsidR="00CB0E55" w:rsidRDefault="00CB0E55">
            <w:pPr>
              <w:jc w:val="center"/>
              <w:rPr>
                <w:rFonts w:asciiTheme="minorEastAsia" w:hAnsiTheme="minorEastAsia" w:cstheme="minorEastAsia"/>
                <w:szCs w:val="21"/>
              </w:rPr>
            </w:pPr>
          </w:p>
        </w:tc>
      </w:tr>
      <w:tr w:rsidR="00CB0E55">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widowControl/>
              <w:spacing w:line="360" w:lineRule="auto"/>
              <w:jc w:val="center"/>
              <w:rPr>
                <w:rFonts w:asciiTheme="minorEastAsia" w:hAnsiTheme="minorEastAsia" w:cstheme="minorEastAsia"/>
                <w:szCs w:val="21"/>
              </w:rPr>
            </w:pPr>
            <w:r>
              <w:rPr>
                <w:rFonts w:asciiTheme="minorEastAsia" w:hAnsiTheme="minorEastAsia" w:cstheme="minorEastAsia" w:hint="eastAsia"/>
                <w:b/>
                <w:szCs w:val="21"/>
              </w:rPr>
              <w:t>选修课（4学分及以上）</w:t>
            </w:r>
          </w:p>
        </w:tc>
      </w:tr>
      <w:tr w:rsidR="00CB0E55">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B0E55" w:rsidRDefault="00983630">
            <w:pPr>
              <w:widowControl/>
              <w:spacing w:line="360" w:lineRule="auto"/>
              <w:jc w:val="center"/>
              <w:rPr>
                <w:rFonts w:asciiTheme="minorEastAsia" w:hAnsiTheme="minorEastAsia" w:cstheme="minorEastAsia"/>
                <w:b/>
                <w:szCs w:val="21"/>
              </w:rPr>
            </w:pPr>
            <w:r>
              <w:rPr>
                <w:rFonts w:asciiTheme="minorEastAsia" w:hAnsiTheme="minorEastAsia" w:cstheme="minorEastAsia" w:hint="eastAsia"/>
                <w:szCs w:val="21"/>
              </w:rPr>
              <w:t>基础理论类、学科前沿类、技术方法类、语言文化类、</w:t>
            </w:r>
            <w:r>
              <w:rPr>
                <w:rFonts w:asciiTheme="minorEastAsia" w:hAnsiTheme="minorEastAsia" w:cstheme="minorEastAsia"/>
                <w:szCs w:val="21"/>
              </w:rPr>
              <w:t>艺术鉴赏类</w:t>
            </w:r>
          </w:p>
        </w:tc>
      </w:tr>
    </w:tbl>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 xml:space="preserve">六、学术活动 </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应在指导教师的指导下参与国内、国际学术会议或学术交流，学术活动包括学科范围（含学科）组织的各类学术活动和本人的学术报告或讲座。积极参加学院、学校组织的学术讲座、论坛等活动，在申请学位论文答辩前必须参加10次以上的学术活动。参加学术活动均需填写《南京中医药大学硕士研究生参加学术活动登记本》，并由主办活动的单位签署意见，答辩前由导师审核签字，学术活动登记本存入研究生个人学习档案。</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七、教学实践</w:t>
      </w:r>
    </w:p>
    <w:p w:rsidR="00CB0E55" w:rsidRDefault="00983630">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协助指导教师进行实验课教学（含实验准备）不少于16学时，或辅助指导至少1名本科生实习、见习、科创赛等完成一个完整的实验专题单元。完成后填写</w:t>
      </w:r>
      <w:r>
        <w:rPr>
          <w:rFonts w:asciiTheme="minorEastAsia" w:eastAsiaTheme="minorEastAsia" w:hAnsiTheme="minorEastAsia" w:cstheme="minorEastAsia"/>
          <w:color w:val="auto"/>
        </w:rPr>
        <w:lastRenderedPageBreak/>
        <w:t>《南京中医药大学研究生教学实践考核表》，由指导教师考核评定成绩。具有教师资格证且在教学岗位上从事教学工作的硕士研究生可填写免修申请。</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 xml:space="preserve">八、科研实践与学位论文工作 </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选题及开题</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硕士研究生在导师指导下广泛收集资料，阅读文献，参加科研，于第二学期写出研究课题的文献综述，确定研究课题，拟定课题的研究计划，并在第三学期9月30日</w:t>
      </w:r>
      <w:r>
        <w:rPr>
          <w:rFonts w:asciiTheme="minorEastAsia" w:eastAsiaTheme="minorEastAsia" w:hAnsiTheme="minorEastAsia" w:cstheme="minorEastAsia" w:hint="default"/>
          <w:color w:val="auto"/>
        </w:rPr>
        <w:t>前，</w:t>
      </w:r>
      <w:r>
        <w:rPr>
          <w:rFonts w:asciiTheme="minorEastAsia" w:eastAsiaTheme="minorEastAsia" w:hAnsiTheme="minorEastAsia" w:cstheme="minorEastAsia"/>
          <w:color w:val="auto"/>
        </w:rPr>
        <w:t>面向学科组织的专家小组进行开题，同时就选题的科学依据、研究内容、实验方法、预期目标、完成课题的条件等广泛征求专家意见，根据专家意见对课题设计作进一步修改，实施课题研究。具体要求见</w:t>
      </w:r>
      <w:r>
        <w:rPr>
          <w:rFonts w:hAnsi="宋体" w:cs="宋体"/>
        </w:rPr>
        <w:t>《南京中医药大学研究生学位论文开题管理规定（修订）》</w:t>
      </w:r>
      <w:r>
        <w:rPr>
          <w:rFonts w:asciiTheme="minorEastAsia" w:eastAsiaTheme="minorEastAsia" w:hAnsiTheme="minorEastAsia" w:cstheme="minorEastAsia"/>
          <w:color w:val="auto"/>
        </w:rPr>
        <w:t>。</w:t>
      </w:r>
    </w:p>
    <w:p w:rsidR="00CB0E55" w:rsidRDefault="00983630">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论文实验记录</w:t>
      </w:r>
    </w:p>
    <w:p w:rsidR="00CB0E55" w:rsidRDefault="00983630">
      <w:pPr>
        <w:pStyle w:val="Default"/>
        <w:widowControl/>
        <w:snapToGrid w:val="0"/>
        <w:spacing w:line="440" w:lineRule="exact"/>
        <w:ind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应按《南京中医药大学研究生学位论文实验记录本》认真填写课题研究的实验记录。学位论文研究内容属于学校科技项目管理的课题，可直接填写学校科研处提供的实验记录本。原始记录妥善保管，以备审核。</w:t>
      </w:r>
    </w:p>
    <w:p w:rsidR="00CB0E55" w:rsidRDefault="00983630">
      <w:pPr>
        <w:pStyle w:val="Default"/>
        <w:widowControl/>
        <w:snapToGrid w:val="0"/>
        <w:spacing w:line="440" w:lineRule="exact"/>
        <w:ind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新生入学时进行原始记录培训，在中期进行原始记录抽检。以学生自查、导师审查为主，落实第一责任制度；各二级学位点进行抽检，对不合格的，建议整改，情节严重的，建议延期毕业。</w:t>
      </w:r>
    </w:p>
    <w:p w:rsidR="00CB0E55" w:rsidRDefault="00983630">
      <w:pPr>
        <w:pStyle w:val="Default"/>
        <w:widowControl/>
        <w:snapToGrid w:val="0"/>
        <w:spacing w:line="440" w:lineRule="exact"/>
        <w:ind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中期考核</w:t>
      </w:r>
    </w:p>
    <w:p w:rsidR="00CB0E55" w:rsidRDefault="00983630">
      <w:pPr>
        <w:pStyle w:val="Default"/>
        <w:widowControl/>
        <w:snapToGrid w:val="0"/>
        <w:spacing w:line="440" w:lineRule="exact"/>
        <w:ind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为了确保硕士研究生的培养质量，建立攻读硕士学位资格淘汰制度。硕士研究生在入学的第四学期进行中期考核</w:t>
      </w:r>
      <w:r>
        <w:rPr>
          <w:rFonts w:ascii="Times New Roman" w:hAnsi="Times New Roman"/>
        </w:rPr>
        <w:t>（</w:t>
      </w:r>
      <w:r>
        <w:rPr>
          <w:rFonts w:ascii="Times New Roman" w:hAnsi="Times New Roman"/>
          <w:u w:val="single"/>
        </w:rPr>
        <w:t>中药资源方向根据课题，时间放宽至九月底</w:t>
      </w:r>
      <w:r>
        <w:rPr>
          <w:rFonts w:ascii="Times New Roman" w:hAnsi="Times New Roman"/>
        </w:rPr>
        <w:t>）</w:t>
      </w:r>
      <w:r>
        <w:rPr>
          <w:rFonts w:asciiTheme="minorEastAsia" w:eastAsiaTheme="minorEastAsia" w:hAnsiTheme="minorEastAsia" w:cstheme="minorEastAsia"/>
          <w:color w:val="auto"/>
        </w:rPr>
        <w:t>。中期考核由二级学位点组织，着重对硕士生政治思想状况、课程学习情况、教学实践、学位论文开题、实践能力等方面进行全面评价并提出考核意见。个别涉密保项目，由导师指导学生的汇报内容公开程度。</w:t>
      </w:r>
    </w:p>
    <w:p w:rsidR="00CB0E55" w:rsidRDefault="00983630">
      <w:pPr>
        <w:pStyle w:val="Default"/>
        <w:widowControl/>
        <w:snapToGrid w:val="0"/>
        <w:spacing w:line="440" w:lineRule="exact"/>
        <w:ind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中期考核内容：书面和口试。书面内容需在中期考核前10日提交。书面内容应包括研究方案、研究进展、进一步研究计划及预期目标等；口试内容为现场答辩。各学位点根据学位课程完成情况、课题熟悉情况及课题进展情况等对考核学生进行综合评分，中期考核不合格者，择期整改（9-12月），整改后考核合格者，同意论文送审、参加答辩，整改后考核不合格者，做延期一年毕业或劝退安排。</w:t>
      </w:r>
    </w:p>
    <w:p w:rsidR="00CB0E55" w:rsidRDefault="00983630">
      <w:pPr>
        <w:pStyle w:val="Default"/>
        <w:widowControl/>
        <w:snapToGrid w:val="0"/>
        <w:spacing w:line="440" w:lineRule="exact"/>
        <w:ind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中期考核评议专家组成：考核小组由3-5人组成，设组长1名。小组成员应具有副高及以上职称，至少3人为硕士生导师；至少含其他学院或外单位专家1名；</w:t>
      </w:r>
      <w:r>
        <w:rPr>
          <w:rFonts w:asciiTheme="minorEastAsia" w:eastAsiaTheme="minorEastAsia" w:hAnsiTheme="minorEastAsia" w:cstheme="minorEastAsia"/>
          <w:color w:val="auto"/>
        </w:rPr>
        <w:lastRenderedPageBreak/>
        <w:t>研究生的指导教师不作为专家组成员。考核小组设秘书1名，负责记录和整理研究生的中期考核材料。</w:t>
      </w:r>
    </w:p>
    <w:p w:rsidR="00CB0E55" w:rsidRDefault="00983630">
      <w:pPr>
        <w:pStyle w:val="Default"/>
        <w:widowControl/>
        <w:snapToGrid w:val="0"/>
        <w:spacing w:line="440" w:lineRule="exact"/>
        <w:ind w:firstLine="480"/>
        <w:jc w:val="both"/>
        <w:rPr>
          <w:rFonts w:asciiTheme="minorEastAsia" w:eastAsiaTheme="minorEastAsia" w:hAnsiTheme="minorEastAsia" w:cstheme="minorEastAsia" w:hint="default"/>
          <w:color w:val="auto"/>
        </w:rPr>
      </w:pPr>
      <w:r>
        <w:rPr>
          <w:rFonts w:cs="宋体"/>
        </w:rPr>
        <w:t>其他要求见《南京中医药大学研究生中期考核办法（修订）》。</w:t>
      </w:r>
    </w:p>
    <w:p w:rsidR="00CB0E55" w:rsidRDefault="00983630">
      <w:pPr>
        <w:pStyle w:val="Default"/>
        <w:widowControl/>
        <w:snapToGrid w:val="0"/>
        <w:spacing w:line="440" w:lineRule="exact"/>
        <w:ind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学位论文的撰写</w:t>
      </w:r>
    </w:p>
    <w:p w:rsidR="00CB0E55" w:rsidRDefault="00983630">
      <w:pPr>
        <w:pStyle w:val="Default"/>
        <w:widowControl/>
        <w:snapToGrid w:val="0"/>
        <w:spacing w:line="440" w:lineRule="exact"/>
        <w:ind w:firstLine="465"/>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学位论文要求文字精练，论点明确，论据充分，数据可靠，有独立的创见性，具有理论和实用价值。课题研究和撰写论文时间应不少于两年。学位论文撰写和毕业具体要求见《南京中医药大学学位论文基本要求及格式规范》。</w:t>
      </w:r>
    </w:p>
    <w:p w:rsidR="00CB0E55" w:rsidRDefault="00983630">
      <w:pPr>
        <w:pStyle w:val="Default"/>
        <w:widowControl/>
        <w:snapToGrid w:val="0"/>
        <w:spacing w:line="440" w:lineRule="exact"/>
        <w:ind w:firstLine="465"/>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学位论文预审核和答辩</w:t>
      </w:r>
    </w:p>
    <w:p w:rsidR="00CB0E55" w:rsidRDefault="00983630">
      <w:pPr>
        <w:widowControl/>
        <w:spacing w:line="480" w:lineRule="exact"/>
        <w:ind w:firstLineChars="200" w:firstLine="480"/>
        <w:rPr>
          <w:rFonts w:ascii="宋体" w:hAnsi="宋体"/>
          <w:kern w:val="0"/>
          <w:sz w:val="24"/>
          <w:lang w:val="zh-CN"/>
        </w:rPr>
      </w:pPr>
      <w:r>
        <w:rPr>
          <w:rFonts w:ascii="宋体" w:hAnsi="宋体" w:hint="eastAsia"/>
          <w:kern w:val="0"/>
          <w:sz w:val="24"/>
          <w:lang w:val="zh-CN"/>
        </w:rPr>
        <w:t>学位论文撰写完成后，经导师审核同意，提交学位点预审核，必要时提交学院学术委员会预审核，提交日期为论文外送盲审前1-2周。预审核时论文内容不完整、具有较大缺失者、存在工作量不足、原始记录真实性等问题者，不予送审并做延期毕业安排。预审核通过，经学术不端检测合格，原始资料审核通过后，方可提交外送盲审。盲审要求见《南京中医药大学研究生学位论文盲审工作实施办法》。</w:t>
      </w:r>
    </w:p>
    <w:p w:rsidR="00CB0E55" w:rsidRDefault="00983630">
      <w:pPr>
        <w:spacing w:line="440" w:lineRule="exact"/>
        <w:ind w:firstLineChars="200" w:firstLine="480"/>
        <w:rPr>
          <w:rFonts w:ascii="宋体" w:hAnsi="宋体"/>
          <w:kern w:val="0"/>
          <w:sz w:val="24"/>
          <w:lang w:val="zh-CN"/>
        </w:rPr>
      </w:pPr>
      <w:r>
        <w:rPr>
          <w:rFonts w:ascii="宋体" w:hAnsi="宋体" w:hint="eastAsia"/>
          <w:kern w:val="0"/>
          <w:sz w:val="24"/>
          <w:lang w:val="zh-CN"/>
        </w:rPr>
        <w:t>学位论文完成后，经导师和指导小组审核同意，方可由导师推荐申请实施学位论文答辩。论文答辩在研究生院统一部署下进行。具体要求参见《南京中医药大学硕士博士学位授予工作细则》相关规定。</w:t>
      </w:r>
    </w:p>
    <w:p w:rsidR="00CB0E55" w:rsidRDefault="00983630">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九、毕业与学位授予</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sz w:val="24"/>
        </w:rPr>
        <w:t>.</w:t>
      </w:r>
      <w:r>
        <w:rPr>
          <w:rFonts w:asciiTheme="minorEastAsia" w:hAnsiTheme="minorEastAsia" w:cstheme="minorEastAsia" w:hint="eastAsia"/>
          <w:sz w:val="24"/>
        </w:rPr>
        <w:t>在规定的最长学习时间内，达到本培养方案各环节要求，通过学位论文答辩，即获得毕业资格，</w:t>
      </w:r>
      <w:r>
        <w:rPr>
          <w:rFonts w:ascii="宋体" w:hAnsi="宋体" w:cs="宋体" w:hint="eastAsia"/>
          <w:sz w:val="24"/>
        </w:rPr>
        <w:t>经所在培养单位和研究生院审核，</w:t>
      </w:r>
      <w:r>
        <w:rPr>
          <w:rFonts w:asciiTheme="minorEastAsia" w:hAnsiTheme="minorEastAsia" w:cstheme="minorEastAsia" w:hint="eastAsia"/>
          <w:sz w:val="24"/>
        </w:rPr>
        <w:t>准予毕业。</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w:t>
      </w:r>
      <w:r>
        <w:rPr>
          <w:rFonts w:asciiTheme="minorEastAsia" w:hAnsiTheme="minorEastAsia" w:cstheme="minorEastAsia" w:hint="eastAsia"/>
          <w:sz w:val="24"/>
        </w:rPr>
        <w:t>获得毕业资格，同时符合《南京中医药大学博士、硕士学位授予工作细则》中“学位授予条件”的相关规定，经学位评定分委员会和学位评定委员会审核，授予相应层次类型的学位。</w:t>
      </w:r>
    </w:p>
    <w:p w:rsidR="00CB0E55" w:rsidRDefault="00983630">
      <w:pPr>
        <w:pStyle w:val="Default"/>
        <w:widowControl/>
        <w:snapToGrid w:val="0"/>
        <w:spacing w:line="440" w:lineRule="exact"/>
        <w:ind w:firstLineChars="200" w:firstLine="482"/>
        <w:rPr>
          <w:rFonts w:asciiTheme="minorEastAsia" w:hAnsiTheme="minorEastAsia" w:cstheme="minorEastAsia" w:hint="default"/>
          <w:b/>
        </w:rPr>
      </w:pPr>
      <w:r>
        <w:rPr>
          <w:rFonts w:asciiTheme="minorEastAsia" w:eastAsiaTheme="minorEastAsia" w:hAnsiTheme="minorEastAsia" w:cstheme="minorEastAsia" w:hint="default"/>
          <w:b/>
          <w:color w:val="auto"/>
        </w:rPr>
        <w:t>十、研究生申请硕士学位科研成果的基本要求</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t>满足下列条件之一：</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t>（一）在中国科学引文数据库（CSCD）收录的期刊发表1篇与研究方向相关的学术论文，为第一作者；</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t>（二）在SCI收录的期刊发表1篇与研究方向相关的学术论文，IF≤3，可为前二作者；3＜IF≤5，可为前三作者；5＜IF≤7，可为前四作者，IF＞7，可为前五作者；在《自然》（Nature）、《科学》(Science)、《细胞》（Cell）刊物上发表学术论文，署名作者，不计排名；</w:t>
      </w:r>
    </w:p>
    <w:p w:rsidR="00CB0E55" w:rsidRDefault="00983630">
      <w:pPr>
        <w:spacing w:line="440" w:lineRule="exact"/>
        <w:ind w:firstLine="480"/>
        <w:rPr>
          <w:rFonts w:asciiTheme="minorEastAsia" w:hAnsiTheme="minorEastAsia" w:cstheme="minorEastAsia"/>
          <w:sz w:val="24"/>
        </w:rPr>
      </w:pPr>
      <w:r>
        <w:rPr>
          <w:rFonts w:asciiTheme="minorEastAsia" w:hAnsiTheme="minorEastAsia" w:cstheme="minorEastAsia" w:hint="eastAsia"/>
          <w:sz w:val="24"/>
        </w:rPr>
        <w:lastRenderedPageBreak/>
        <w:t>（三）获得与研究方向相关的国内外授权发明专利，排名前四。</w:t>
      </w:r>
    </w:p>
    <w:p w:rsidR="00CB0E55" w:rsidRDefault="00983630">
      <w:pPr>
        <w:pStyle w:val="Default"/>
        <w:widowControl/>
        <w:snapToGrid w:val="0"/>
        <w:spacing w:line="440" w:lineRule="exact"/>
        <w:ind w:firstLine="465"/>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 xml:space="preserve">十一、制定研究生培养计划的相关要求 </w:t>
      </w:r>
    </w:p>
    <w:p w:rsidR="00CB0E55" w:rsidRDefault="00983630">
      <w:pPr>
        <w:pStyle w:val="Default"/>
        <w:widowControl/>
        <w:snapToGrid w:val="0"/>
        <w:spacing w:line="440" w:lineRule="exact"/>
        <w:ind w:firstLine="482"/>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导师和指导小组应根据国家学位条例、学科专业培养方案并结合硕士生个人情况，指导研究生制定个性化的培养计划，详细填写培养计划表。培养计划表一式三份，一份送学院留存，导师和硕士研究生各保存一份。在执行过程中如因客观条件变化，可以修订培养计划，但需经学院主管领导同意，并报研究生院培养办公室备案。在硕士研究生学位论文答辩前，应审查培养计划执行情况，未执行培养计划者，不得进行学位论文答辩。</w:t>
      </w:r>
    </w:p>
    <w:p w:rsidR="00CB0E55" w:rsidRDefault="00983630">
      <w:pPr>
        <w:adjustRightInd w:val="0"/>
        <w:snapToGrid w:val="0"/>
        <w:spacing w:line="440" w:lineRule="exact"/>
        <w:rPr>
          <w:rFonts w:asciiTheme="minorEastAsia" w:hAnsiTheme="minorEastAsia" w:cstheme="minorEastAsia"/>
          <w:b/>
          <w:sz w:val="24"/>
        </w:rPr>
      </w:pPr>
      <w:r>
        <w:rPr>
          <w:rFonts w:asciiTheme="minorEastAsia" w:hAnsiTheme="minorEastAsia" w:cstheme="minorEastAsia" w:hint="eastAsia"/>
          <w:b/>
          <w:sz w:val="24"/>
        </w:rPr>
        <w:t>十二、培养流程</w:t>
      </w:r>
    </w:p>
    <w:p w:rsidR="00CB0E55" w:rsidRDefault="00983630">
      <w:pPr>
        <w:adjustRightInd w:val="0"/>
        <w:snapToGrid w:val="0"/>
        <w:spacing w:line="440" w:lineRule="exact"/>
        <w:jc w:val="center"/>
        <w:rPr>
          <w:rFonts w:asciiTheme="minorEastAsia" w:hAnsiTheme="minorEastAsia" w:cstheme="minorEastAsia"/>
          <w:b/>
          <w:sz w:val="24"/>
        </w:rPr>
      </w:pPr>
      <w:r>
        <w:rPr>
          <w:rFonts w:asciiTheme="minorEastAsia" w:hAnsiTheme="minorEastAsia" w:cstheme="minorEastAsia" w:hint="eastAsia"/>
          <w:b/>
          <w:sz w:val="24"/>
        </w:rPr>
        <w:t xml:space="preserve"> 硕士研究生培养流程</w:t>
      </w:r>
    </w:p>
    <w:tbl>
      <w:tblPr>
        <w:tblStyle w:val="af"/>
        <w:tblW w:w="8296" w:type="dxa"/>
        <w:tblLayout w:type="fixed"/>
        <w:tblLook w:val="04A0" w:firstRow="1" w:lastRow="0" w:firstColumn="1" w:lastColumn="0" w:noHBand="0" w:noVBand="1"/>
      </w:tblPr>
      <w:tblGrid>
        <w:gridCol w:w="1659"/>
        <w:gridCol w:w="4715"/>
        <w:gridCol w:w="567"/>
        <w:gridCol w:w="709"/>
        <w:gridCol w:w="646"/>
      </w:tblGrid>
      <w:tr w:rsidR="00CB0E55">
        <w:tc>
          <w:tcPr>
            <w:tcW w:w="1659" w:type="dxa"/>
            <w:tcBorders>
              <w:top w:val="single" w:sz="4" w:space="0" w:color="auto"/>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b/>
                <w:kern w:val="0"/>
                <w:sz w:val="24"/>
              </w:rPr>
            </w:pPr>
            <w:r>
              <w:rPr>
                <w:rFonts w:asciiTheme="minorEastAsia" w:hAnsiTheme="minorEastAsia" w:cstheme="minorEastAsia" w:hint="eastAsia"/>
                <w:b/>
                <w:kern w:val="0"/>
                <w:sz w:val="24"/>
              </w:rPr>
              <w:t>学期</w:t>
            </w:r>
          </w:p>
        </w:tc>
        <w:tc>
          <w:tcPr>
            <w:tcW w:w="6637" w:type="dxa"/>
            <w:gridSpan w:val="4"/>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b/>
                <w:kern w:val="0"/>
                <w:sz w:val="24"/>
              </w:rPr>
            </w:pPr>
            <w:r>
              <w:rPr>
                <w:rFonts w:asciiTheme="minorEastAsia" w:hAnsiTheme="minorEastAsia" w:cstheme="minorEastAsia" w:hint="eastAsia"/>
                <w:b/>
                <w:kern w:val="0"/>
                <w:sz w:val="24"/>
              </w:rPr>
              <w:t>内容</w:t>
            </w:r>
          </w:p>
        </w:tc>
      </w:tr>
      <w:tr w:rsidR="00CB0E55">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第一学期</w:t>
            </w:r>
          </w:p>
        </w:tc>
        <w:tc>
          <w:tcPr>
            <w:tcW w:w="5282" w:type="dxa"/>
            <w:gridSpan w:val="2"/>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制定培养计划</w:t>
            </w:r>
          </w:p>
        </w:tc>
        <w:tc>
          <w:tcPr>
            <w:tcW w:w="709" w:type="dxa"/>
            <w:vMerge w:val="restart"/>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学</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术</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交</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流</w:t>
            </w:r>
          </w:p>
        </w:tc>
        <w:tc>
          <w:tcPr>
            <w:tcW w:w="646" w:type="dxa"/>
            <w:vMerge w:val="restart"/>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CB0E55">
            <w:pPr>
              <w:adjustRightInd w:val="0"/>
              <w:snapToGrid w:val="0"/>
              <w:spacing w:line="440" w:lineRule="exact"/>
              <w:jc w:val="center"/>
              <w:rPr>
                <w:rFonts w:asciiTheme="minorEastAsia" w:hAnsiTheme="minorEastAsia" w:cstheme="minorEastAsia"/>
                <w:kern w:val="0"/>
                <w:sz w:val="24"/>
              </w:rPr>
            </w:pP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学</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术</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论</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文</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发</w:t>
            </w:r>
          </w:p>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表</w:t>
            </w: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5282" w:type="dxa"/>
            <w:gridSpan w:val="2"/>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集中课程学习</w:t>
            </w: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5282" w:type="dxa"/>
            <w:gridSpan w:val="2"/>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专业课学习</w:t>
            </w: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5282" w:type="dxa"/>
            <w:gridSpan w:val="2"/>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选题及文献综述</w:t>
            </w: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第二学期</w:t>
            </w: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选题及文献综述</w:t>
            </w:r>
          </w:p>
        </w:tc>
        <w:tc>
          <w:tcPr>
            <w:tcW w:w="567" w:type="dxa"/>
            <w:vMerge w:val="restart"/>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kern w:val="0"/>
                <w:sz w:val="24"/>
              </w:rPr>
            </w:pP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实</w:t>
            </w: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践</w:t>
            </w: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能</w:t>
            </w: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力</w:t>
            </w: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训</w:t>
            </w:r>
          </w:p>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练</w:t>
            </w: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专业课学习</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学位论文工作</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第三学期</w:t>
            </w: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开题</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学位论文工作</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rPr>
          <w:trHeight w:val="411"/>
        </w:trPr>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第四学期</w:t>
            </w: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学位论文工作</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中期考核</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第五学期</w:t>
            </w: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学位论文工作</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4715" w:type="dxa"/>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学位论文撰写</w:t>
            </w:r>
          </w:p>
        </w:tc>
        <w:tc>
          <w:tcPr>
            <w:tcW w:w="567" w:type="dxa"/>
            <w:vMerge/>
            <w:tcBorders>
              <w:top w:val="nil"/>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val="restart"/>
            <w:tcBorders>
              <w:top w:val="nil"/>
              <w:left w:val="single" w:sz="4" w:space="0" w:color="auto"/>
              <w:bottom w:val="single" w:sz="4" w:space="0" w:color="auto"/>
              <w:right w:val="single" w:sz="4" w:space="0" w:color="auto"/>
            </w:tcBorders>
            <w:shd w:val="clear" w:color="auto" w:fill="auto"/>
          </w:tcPr>
          <w:p w:rsidR="00CB0E55" w:rsidRDefault="00983630">
            <w:pPr>
              <w:adjustRightInd w:val="0"/>
              <w:snapToGrid w:val="0"/>
              <w:spacing w:line="440" w:lineRule="exact"/>
              <w:jc w:val="center"/>
              <w:rPr>
                <w:rFonts w:asciiTheme="minorEastAsia" w:hAnsiTheme="minorEastAsia" w:cstheme="minorEastAsia"/>
                <w:kern w:val="0"/>
                <w:sz w:val="24"/>
              </w:rPr>
            </w:pPr>
            <w:r>
              <w:rPr>
                <w:rFonts w:asciiTheme="minorEastAsia" w:hAnsiTheme="minorEastAsia" w:cstheme="minorEastAsia" w:hint="eastAsia"/>
                <w:kern w:val="0"/>
                <w:sz w:val="24"/>
              </w:rPr>
              <w:t>第六学期</w:t>
            </w:r>
          </w:p>
        </w:tc>
        <w:tc>
          <w:tcPr>
            <w:tcW w:w="5282" w:type="dxa"/>
            <w:gridSpan w:val="2"/>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论文盲审</w:t>
            </w:r>
          </w:p>
        </w:tc>
        <w:tc>
          <w:tcPr>
            <w:tcW w:w="709"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rPr>
          <w:trHeight w:val="429"/>
        </w:trPr>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5991" w:type="dxa"/>
            <w:gridSpan w:val="3"/>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提交答辩申请，进行论文答辩</w:t>
            </w:r>
          </w:p>
        </w:tc>
        <w:tc>
          <w:tcPr>
            <w:tcW w:w="646" w:type="dxa"/>
            <w:vMerge/>
            <w:tcBorders>
              <w:top w:val="single" w:sz="4" w:space="0" w:color="auto"/>
              <w:left w:val="nil"/>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r>
      <w:tr w:rsidR="00CB0E55">
        <w:tc>
          <w:tcPr>
            <w:tcW w:w="1659" w:type="dxa"/>
            <w:vMerge/>
            <w:tcBorders>
              <w:top w:val="nil"/>
              <w:left w:val="single" w:sz="4" w:space="0" w:color="auto"/>
              <w:bottom w:val="single" w:sz="4" w:space="0" w:color="auto"/>
              <w:right w:val="single" w:sz="4" w:space="0" w:color="auto"/>
            </w:tcBorders>
            <w:shd w:val="clear" w:color="auto" w:fill="auto"/>
          </w:tcPr>
          <w:p w:rsidR="00CB0E55" w:rsidRDefault="00CB0E55">
            <w:pPr>
              <w:adjustRightInd w:val="0"/>
              <w:snapToGrid w:val="0"/>
              <w:spacing w:line="440" w:lineRule="exact"/>
              <w:rPr>
                <w:rFonts w:asciiTheme="minorEastAsia" w:hAnsiTheme="minorEastAsia" w:cstheme="minorEastAsia"/>
                <w:sz w:val="24"/>
              </w:rPr>
            </w:pPr>
          </w:p>
        </w:tc>
        <w:tc>
          <w:tcPr>
            <w:tcW w:w="6637" w:type="dxa"/>
            <w:gridSpan w:val="4"/>
            <w:tcBorders>
              <w:top w:val="single" w:sz="4" w:space="0" w:color="auto"/>
              <w:left w:val="nil"/>
              <w:bottom w:val="single" w:sz="4" w:space="0" w:color="auto"/>
              <w:right w:val="single" w:sz="4" w:space="0" w:color="auto"/>
            </w:tcBorders>
            <w:shd w:val="clear" w:color="auto" w:fill="auto"/>
          </w:tcPr>
          <w:p w:rsidR="00CB0E55" w:rsidRDefault="00983630">
            <w:pPr>
              <w:adjustRightInd w:val="0"/>
              <w:snapToGrid w:val="0"/>
              <w:spacing w:line="440" w:lineRule="exact"/>
              <w:rPr>
                <w:rFonts w:asciiTheme="minorEastAsia" w:hAnsiTheme="minorEastAsia" w:cstheme="minorEastAsia"/>
                <w:kern w:val="0"/>
                <w:sz w:val="24"/>
              </w:rPr>
            </w:pPr>
            <w:r>
              <w:rPr>
                <w:rFonts w:asciiTheme="minorEastAsia" w:hAnsiTheme="minorEastAsia" w:cstheme="minorEastAsia" w:hint="eastAsia"/>
                <w:kern w:val="0"/>
                <w:sz w:val="24"/>
              </w:rPr>
              <w:t>申请毕业、申请学位</w:t>
            </w:r>
          </w:p>
        </w:tc>
      </w:tr>
    </w:tbl>
    <w:p w:rsidR="00CB0E55" w:rsidRDefault="00983630">
      <w:pPr>
        <w:autoSpaceDE w:val="0"/>
        <w:autoSpaceDN w:val="0"/>
        <w:adjustRightInd w:val="0"/>
        <w:spacing w:line="440" w:lineRule="exact"/>
        <w:ind w:firstLineChars="200" w:firstLine="480"/>
        <w:jc w:val="right"/>
        <w:rPr>
          <w:rFonts w:asciiTheme="minorEastAsia" w:hAnsiTheme="minorEastAsia" w:cstheme="minorEastAsia"/>
          <w:sz w:val="24"/>
        </w:rPr>
      </w:pPr>
      <w:r>
        <w:rPr>
          <w:rFonts w:asciiTheme="minorEastAsia" w:hAnsiTheme="minorEastAsia" w:cstheme="minorEastAsia" w:hint="eastAsia"/>
          <w:sz w:val="24"/>
        </w:rPr>
        <w:t xml:space="preserve"> </w:t>
      </w:r>
      <w:r>
        <w:rPr>
          <w:rFonts w:ascii="宋体" w:eastAsia="宋体" w:cs="宋体" w:hint="eastAsia"/>
          <w:kern w:val="0"/>
          <w:sz w:val="24"/>
        </w:rPr>
        <w:t>（2022年</w:t>
      </w:r>
      <w:r>
        <w:rPr>
          <w:rFonts w:ascii="宋体" w:eastAsia="宋体" w:cs="宋体"/>
          <w:kern w:val="0"/>
          <w:sz w:val="24"/>
        </w:rPr>
        <w:t>修订</w:t>
      </w:r>
      <w:r>
        <w:rPr>
          <w:rFonts w:ascii="宋体" w:eastAsia="宋体" w:cs="宋体" w:hint="eastAsia"/>
          <w:kern w:val="0"/>
          <w:sz w:val="24"/>
        </w:rPr>
        <w:t>）</w:t>
      </w:r>
    </w:p>
    <w:sectPr w:rsidR="00CB0E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11C" w:rsidRDefault="009C011C" w:rsidP="00966FEF">
      <w:r>
        <w:separator/>
      </w:r>
    </w:p>
  </w:endnote>
  <w:endnote w:type="continuationSeparator" w:id="0">
    <w:p w:rsidR="009C011C" w:rsidRDefault="009C011C" w:rsidP="0096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11C" w:rsidRDefault="009C011C" w:rsidP="00966FEF">
      <w:r>
        <w:separator/>
      </w:r>
    </w:p>
  </w:footnote>
  <w:footnote w:type="continuationSeparator" w:id="0">
    <w:p w:rsidR="009C011C" w:rsidRDefault="009C011C" w:rsidP="00966F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2ODA0NzJhNGYxNTcwNTUyZjRjMTc1MmJjMjVhYzIifQ=="/>
  </w:docVars>
  <w:rsids>
    <w:rsidRoot w:val="64F9667A"/>
    <w:rsid w:val="000079D3"/>
    <w:rsid w:val="00046DC1"/>
    <w:rsid w:val="000D087C"/>
    <w:rsid w:val="00135E50"/>
    <w:rsid w:val="00153FCF"/>
    <w:rsid w:val="00156DBB"/>
    <w:rsid w:val="00173AAF"/>
    <w:rsid w:val="001749CE"/>
    <w:rsid w:val="00177099"/>
    <w:rsid w:val="00182F15"/>
    <w:rsid w:val="001D40BE"/>
    <w:rsid w:val="00221B71"/>
    <w:rsid w:val="002C7A0D"/>
    <w:rsid w:val="002C7CEB"/>
    <w:rsid w:val="00374505"/>
    <w:rsid w:val="003A0A3C"/>
    <w:rsid w:val="00412F62"/>
    <w:rsid w:val="004147F0"/>
    <w:rsid w:val="004701A2"/>
    <w:rsid w:val="004850A2"/>
    <w:rsid w:val="00494D7C"/>
    <w:rsid w:val="004F3F16"/>
    <w:rsid w:val="005519C8"/>
    <w:rsid w:val="00557AC1"/>
    <w:rsid w:val="0057694F"/>
    <w:rsid w:val="006132F0"/>
    <w:rsid w:val="00650698"/>
    <w:rsid w:val="0066592E"/>
    <w:rsid w:val="006B7E6D"/>
    <w:rsid w:val="00706F63"/>
    <w:rsid w:val="0075483C"/>
    <w:rsid w:val="00775700"/>
    <w:rsid w:val="00785DF5"/>
    <w:rsid w:val="007B1BDC"/>
    <w:rsid w:val="007C62BE"/>
    <w:rsid w:val="007D06A3"/>
    <w:rsid w:val="007E370C"/>
    <w:rsid w:val="00826A01"/>
    <w:rsid w:val="008335F9"/>
    <w:rsid w:val="00854F8C"/>
    <w:rsid w:val="00870556"/>
    <w:rsid w:val="008B1294"/>
    <w:rsid w:val="008C286D"/>
    <w:rsid w:val="008C6690"/>
    <w:rsid w:val="008E7B8E"/>
    <w:rsid w:val="009026DC"/>
    <w:rsid w:val="009138CF"/>
    <w:rsid w:val="009309DF"/>
    <w:rsid w:val="0094543E"/>
    <w:rsid w:val="00962B5C"/>
    <w:rsid w:val="00966FEF"/>
    <w:rsid w:val="00983630"/>
    <w:rsid w:val="00991554"/>
    <w:rsid w:val="009B0BE8"/>
    <w:rsid w:val="009C011C"/>
    <w:rsid w:val="009C41C6"/>
    <w:rsid w:val="009E3072"/>
    <w:rsid w:val="00A2039D"/>
    <w:rsid w:val="00A2161A"/>
    <w:rsid w:val="00A31694"/>
    <w:rsid w:val="00A554BD"/>
    <w:rsid w:val="00A62CB2"/>
    <w:rsid w:val="00A86FDE"/>
    <w:rsid w:val="00A92A00"/>
    <w:rsid w:val="00AB0A38"/>
    <w:rsid w:val="00AC740E"/>
    <w:rsid w:val="00AE12CC"/>
    <w:rsid w:val="00AF6B30"/>
    <w:rsid w:val="00B1266E"/>
    <w:rsid w:val="00B14F60"/>
    <w:rsid w:val="00B222C6"/>
    <w:rsid w:val="00B51741"/>
    <w:rsid w:val="00B672EE"/>
    <w:rsid w:val="00B70E57"/>
    <w:rsid w:val="00B9222B"/>
    <w:rsid w:val="00BC3E09"/>
    <w:rsid w:val="00BC3F34"/>
    <w:rsid w:val="00BD04FA"/>
    <w:rsid w:val="00BD3DBF"/>
    <w:rsid w:val="00C05609"/>
    <w:rsid w:val="00C57493"/>
    <w:rsid w:val="00C91614"/>
    <w:rsid w:val="00CB0E55"/>
    <w:rsid w:val="00CB0EAA"/>
    <w:rsid w:val="00CB7795"/>
    <w:rsid w:val="00CC57DB"/>
    <w:rsid w:val="00CE1EED"/>
    <w:rsid w:val="00CE475A"/>
    <w:rsid w:val="00D01DA5"/>
    <w:rsid w:val="00D020B9"/>
    <w:rsid w:val="00D61D26"/>
    <w:rsid w:val="00D66625"/>
    <w:rsid w:val="00D677AB"/>
    <w:rsid w:val="00D934EC"/>
    <w:rsid w:val="00DD2E5F"/>
    <w:rsid w:val="00DF5D28"/>
    <w:rsid w:val="00ED3EEA"/>
    <w:rsid w:val="00ED4F22"/>
    <w:rsid w:val="00F02FA0"/>
    <w:rsid w:val="00F21B9E"/>
    <w:rsid w:val="00F2537F"/>
    <w:rsid w:val="00F7066E"/>
    <w:rsid w:val="00F74DA7"/>
    <w:rsid w:val="00F97438"/>
    <w:rsid w:val="00FA1193"/>
    <w:rsid w:val="00FA12B5"/>
    <w:rsid w:val="00FE0861"/>
    <w:rsid w:val="037201FA"/>
    <w:rsid w:val="19617D6F"/>
    <w:rsid w:val="1EFA7794"/>
    <w:rsid w:val="22E751D6"/>
    <w:rsid w:val="257E4976"/>
    <w:rsid w:val="31007CB2"/>
    <w:rsid w:val="38332881"/>
    <w:rsid w:val="3D3B34F7"/>
    <w:rsid w:val="3ECA4CEE"/>
    <w:rsid w:val="40595F02"/>
    <w:rsid w:val="40C2457E"/>
    <w:rsid w:val="41C33FBE"/>
    <w:rsid w:val="44E25080"/>
    <w:rsid w:val="49057180"/>
    <w:rsid w:val="64F9667A"/>
    <w:rsid w:val="674C65FA"/>
    <w:rsid w:val="6AC2448F"/>
    <w:rsid w:val="6D354FBD"/>
    <w:rsid w:val="6D535020"/>
    <w:rsid w:val="743265EE"/>
    <w:rsid w:val="79815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0F9D2"/>
  <w15:docId w15:val="{A648E442-A0D1-4740-A69A-8EE893AC6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ody Text"/>
    <w:basedOn w:val="a"/>
    <w:link w:val="a6"/>
    <w:uiPriority w:val="1"/>
    <w:qFormat/>
    <w:pPr>
      <w:spacing w:before="106"/>
      <w:ind w:left="594" w:right="27"/>
      <w:jc w:val="left"/>
    </w:pPr>
    <w:rPr>
      <w:rFonts w:ascii="宋体" w:eastAsia="宋体" w:hAnsi="宋体" w:cs="宋体"/>
      <w:kern w:val="0"/>
      <w:sz w:val="24"/>
      <w:lang w:eastAsia="en-US"/>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semiHidden/>
    <w:unhideWhenUsed/>
    <w:qFormat/>
    <w:rPr>
      <w:b/>
      <w:bCs/>
    </w:rPr>
  </w:style>
  <w:style w:type="table" w:styleId="af">
    <w:name w:val="Table Grid"/>
    <w:basedOn w:val="a1"/>
    <w:uiPriority w:val="59"/>
    <w:qFormat/>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0">
    <w:name w:val="annotation reference"/>
    <w:basedOn w:val="a0"/>
    <w:semiHidden/>
    <w:unhideWhenUsed/>
    <w:qFormat/>
    <w:rPr>
      <w:sz w:val="21"/>
      <w:szCs w:val="21"/>
    </w:rPr>
  </w:style>
  <w:style w:type="paragraph" w:customStyle="1" w:styleId="Default">
    <w:name w:val="Default"/>
    <w:basedOn w:val="a"/>
    <w:qFormat/>
    <w:pPr>
      <w:autoSpaceDE w:val="0"/>
      <w:autoSpaceDN w:val="0"/>
      <w:adjustRightInd w:val="0"/>
      <w:jc w:val="left"/>
    </w:pPr>
    <w:rPr>
      <w:rFonts w:ascii="宋体" w:eastAsia="宋体" w:hAnsi="等线" w:cs="Times New Roman" w:hint="eastAsia"/>
      <w:color w:val="000000"/>
      <w:kern w:val="0"/>
      <w:sz w:val="24"/>
    </w:rPr>
  </w:style>
  <w:style w:type="character" w:customStyle="1" w:styleId="ac">
    <w:name w:val="页眉 字符"/>
    <w:basedOn w:val="a0"/>
    <w:link w:val="ab"/>
    <w:qFormat/>
    <w:rPr>
      <w:rFonts w:asciiTheme="minorHAnsi" w:eastAsiaTheme="minorEastAsia" w:hAnsiTheme="minorHAnsi" w:cstheme="minorBidi"/>
      <w:kern w:val="2"/>
      <w:sz w:val="18"/>
      <w:szCs w:val="18"/>
    </w:rPr>
  </w:style>
  <w:style w:type="character" w:customStyle="1" w:styleId="aa">
    <w:name w:val="页脚 字符"/>
    <w:basedOn w:val="a0"/>
    <w:link w:val="a9"/>
    <w:qFormat/>
    <w:rPr>
      <w:rFonts w:asciiTheme="minorHAnsi" w:eastAsiaTheme="minorEastAsia" w:hAnsiTheme="minorHAnsi" w:cstheme="minorBidi"/>
      <w:kern w:val="2"/>
      <w:sz w:val="18"/>
      <w:szCs w:val="18"/>
    </w:rPr>
  </w:style>
  <w:style w:type="character" w:customStyle="1" w:styleId="a6">
    <w:name w:val="正文文本 字符"/>
    <w:basedOn w:val="a0"/>
    <w:link w:val="a5"/>
    <w:uiPriority w:val="1"/>
    <w:qFormat/>
    <w:rPr>
      <w:rFonts w:ascii="宋体" w:hAnsi="宋体" w:cs="宋体"/>
      <w:sz w:val="24"/>
      <w:szCs w:val="24"/>
      <w:lang w:eastAsia="en-US"/>
    </w:rPr>
  </w:style>
  <w:style w:type="character" w:customStyle="1" w:styleId="a8">
    <w:name w:val="批注框文本 字符"/>
    <w:basedOn w:val="a0"/>
    <w:link w:val="a7"/>
    <w:qFormat/>
    <w:rPr>
      <w:rFonts w:asciiTheme="minorHAnsi" w:eastAsiaTheme="minorEastAsia" w:hAnsiTheme="minorHAnsi" w:cstheme="minorBidi"/>
      <w:kern w:val="2"/>
      <w:sz w:val="18"/>
      <w:szCs w:val="18"/>
    </w:rPr>
  </w:style>
  <w:style w:type="character" w:customStyle="1" w:styleId="a4">
    <w:name w:val="批注文字 字符"/>
    <w:basedOn w:val="a0"/>
    <w:link w:val="a3"/>
    <w:semiHidden/>
    <w:qFormat/>
    <w:rPr>
      <w:rFonts w:asciiTheme="minorHAnsi" w:eastAsiaTheme="minorEastAsia" w:hAnsiTheme="minorHAnsi" w:cstheme="minorBidi"/>
      <w:kern w:val="2"/>
      <w:sz w:val="21"/>
      <w:szCs w:val="24"/>
    </w:rPr>
  </w:style>
  <w:style w:type="character" w:customStyle="1" w:styleId="ae">
    <w:name w:val="批注主题 字符"/>
    <w:basedOn w:val="a4"/>
    <w:link w:val="ad"/>
    <w:semiHidden/>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35</TotalTime>
  <Pages>7</Pages>
  <Words>798</Words>
  <Characters>4554</Characters>
  <Application>Microsoft Office Word</Application>
  <DocSecurity>0</DocSecurity>
  <Lines>37</Lines>
  <Paragraphs>10</Paragraphs>
  <ScaleCrop>false</ScaleCrop>
  <Company>Microsoft</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wu</cp:lastModifiedBy>
  <cp:revision>37</cp:revision>
  <dcterms:created xsi:type="dcterms:W3CDTF">2022-06-15T06:30:00Z</dcterms:created>
  <dcterms:modified xsi:type="dcterms:W3CDTF">2022-09-17T04:25:00Z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0E886BE3AF7F42A5BEACD983DB9117C1</vt:lpwstr>
  </property>
</Properties>
</file>